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674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HAnsi" w:hAnsiTheme="minorHAnsi" w:eastAsiaTheme="minorEastAsia" w:cstheme="minorBidi"/>
          <w:kern w:val="2"/>
          <w:sz w:val="21"/>
          <w:szCs w:val="22"/>
          <w:lang w:val="en-US" w:eastAsia="zh-CN" w:bidi="ar-SA"/>
        </w:rPr>
      </w:pPr>
    </w:p>
    <w:p w14:paraId="35579D69">
      <w:pPr>
        <w:bidi w:val="0"/>
        <w:rPr>
          <w:rFonts w:hint="default" w:asciiTheme="minorHAnsi" w:hAnsiTheme="minorHAnsi" w:eastAsiaTheme="minorEastAsia" w:cstheme="minorBidi"/>
          <w:kern w:val="2"/>
          <w:sz w:val="21"/>
          <w:szCs w:val="22"/>
          <w:lang w:val="en-US" w:eastAsia="zh-CN" w:bidi="ar-SA"/>
        </w:rPr>
      </w:pPr>
    </w:p>
    <w:p w14:paraId="193998A6">
      <w:pPr>
        <w:bidi w:val="0"/>
        <w:rPr>
          <w:rFonts w:hint="default"/>
          <w:lang w:val="en-US" w:eastAsia="zh-CN"/>
        </w:rPr>
      </w:pPr>
    </w:p>
    <w:p w14:paraId="6F8967F9">
      <w:pPr>
        <w:bidi w:val="0"/>
        <w:rPr>
          <w:rFonts w:hint="default"/>
          <w:lang w:val="en-US" w:eastAsia="zh-CN"/>
        </w:rPr>
      </w:pPr>
    </w:p>
    <w:p w14:paraId="7B7FEECD">
      <w:pPr>
        <w:bidi w:val="0"/>
        <w:rPr>
          <w:rFonts w:hint="default"/>
          <w:lang w:val="en-US" w:eastAsia="zh-CN"/>
        </w:rPr>
      </w:pPr>
    </w:p>
    <w:p w14:paraId="7B19C2F9">
      <w:pPr>
        <w:bidi w:val="0"/>
        <w:rPr>
          <w:rFonts w:hint="default"/>
          <w:lang w:val="en-US" w:eastAsia="zh-CN"/>
        </w:rPr>
      </w:pPr>
    </w:p>
    <w:p w14:paraId="4670BB6C">
      <w:pPr>
        <w:bidi w:val="0"/>
        <w:rPr>
          <w:rFonts w:hint="default"/>
          <w:lang w:val="en-US" w:eastAsia="zh-CN"/>
        </w:rPr>
      </w:pPr>
    </w:p>
    <w:p w14:paraId="31E0D3D0">
      <w:pPr>
        <w:bidi w:val="0"/>
        <w:rPr>
          <w:rFonts w:hint="default"/>
          <w:lang w:val="en-US" w:eastAsia="zh-CN"/>
        </w:rPr>
      </w:pPr>
    </w:p>
    <w:p w14:paraId="014B21FD">
      <w:pPr>
        <w:bidi w:val="0"/>
        <w:rPr>
          <w:rFonts w:hint="default"/>
          <w:lang w:val="en-US" w:eastAsia="zh-CN"/>
        </w:rPr>
      </w:pPr>
    </w:p>
    <w:p w14:paraId="0C795F3B">
      <w:pPr>
        <w:bidi w:val="0"/>
        <w:rPr>
          <w:rFonts w:hint="default"/>
          <w:lang w:val="en-US" w:eastAsia="zh-CN"/>
        </w:rPr>
      </w:pPr>
    </w:p>
    <w:p w14:paraId="284EE265">
      <w:pPr>
        <w:bidi w:val="0"/>
        <w:rPr>
          <w:rFonts w:hint="default"/>
          <w:lang w:val="en-US" w:eastAsia="zh-CN"/>
        </w:rPr>
      </w:pPr>
    </w:p>
    <w:p w14:paraId="4EB6EF55">
      <w:pPr>
        <w:bidi w:val="0"/>
        <w:rPr>
          <w:rFonts w:hint="default"/>
          <w:lang w:val="en-US" w:eastAsia="zh-CN"/>
        </w:rPr>
      </w:pPr>
    </w:p>
    <w:sdt>
      <w:sdtPr>
        <w:rPr>
          <w:rFonts w:hint="eastAsia" w:ascii="微软雅黑" w:hAnsi="微软雅黑" w:eastAsia="微软雅黑" w:cs="微软雅黑"/>
          <w:b/>
          <w:bCs/>
          <w:color w:val="2D4CE7"/>
          <w:kern w:val="2"/>
          <w:sz w:val="112"/>
          <w:szCs w:val="112"/>
          <w:lang w:val="en-US" w:eastAsia="zh-CN" w:bidi="ar-SA"/>
        </w:rPr>
        <w:id w:val="147455901"/>
        <w:placeholder>
          <w:docPart w:val="{2583eb5f-5d55-48aa-8dcf-0df0c693c2da}"/>
        </w:placeholder>
        <w:dataBinding w:prefixMappings="xmlns:ns0='http://purl.org/dc/elements/1.1/' xmlns:ns1='http://schemas.openxmlformats.org/package/2006/metadata/core-properties' " w:xpath="/ns1:coreProperties[1]/ns0:title[1]" w:storeItemID="{6C3C8BC8-F283-45AE-878A-BAB7291924A1}"/>
        <w:text/>
      </w:sdtPr>
      <w:sdtEndPr>
        <w:rPr>
          <w:rFonts w:hint="default" w:ascii="微软雅黑" w:hAnsi="微软雅黑" w:eastAsia="微软雅黑" w:cs="微软雅黑"/>
          <w:b/>
          <w:bCs/>
          <w:color w:val="2D4CE7"/>
          <w:kern w:val="2"/>
          <w:sz w:val="112"/>
          <w:szCs w:val="112"/>
          <w:lang w:val="en-US" w:eastAsia="zh-CN" w:bidi="ar-SA"/>
        </w:rPr>
      </w:sdtEndPr>
      <w:sdtContent>
        <w:p w14:paraId="6B826DBA">
          <w:pPr>
            <w:keepNext w:val="0"/>
            <w:keepLines w:val="0"/>
            <w:pageBreakBefore w:val="0"/>
            <w:widowControl w:val="0"/>
            <w:tabs>
              <w:tab w:val="left" w:pos="909"/>
            </w:tabs>
            <w:kinsoku/>
            <w:wordWrap/>
            <w:overflowPunct/>
            <w:topLinePunct w:val="0"/>
            <w:autoSpaceDE/>
            <w:autoSpaceDN/>
            <w:bidi w:val="0"/>
            <w:adjustRightInd w:val="0"/>
            <w:snapToGrid w:val="0"/>
            <w:spacing w:line="2000" w:lineRule="exact"/>
            <w:jc w:val="center"/>
            <w:textAlignment w:val="auto"/>
            <w:rPr>
              <w:rFonts w:hint="default" w:ascii="微软雅黑" w:hAnsi="微软雅黑" w:eastAsia="微软雅黑" w:cs="微软雅黑"/>
              <w:b/>
              <w:bCs/>
              <w:color w:val="2D4CE7"/>
              <w:kern w:val="2"/>
              <w:sz w:val="112"/>
              <w:szCs w:val="112"/>
              <w:lang w:val="en-US" w:eastAsia="zh-CN" w:bidi="ar-SA"/>
            </w:rPr>
          </w:pPr>
          <w:r>
            <w:rPr>
              <w:rFonts w:hint="eastAsia" w:ascii="方正公文小标宋" w:hAnsi="方正公文小标宋" w:eastAsia="方正公文小标宋" w:cs="方正公文小标宋"/>
              <w:b/>
              <w:bCs/>
              <w:color w:val="auto"/>
              <w:kern w:val="2"/>
              <w:sz w:val="44"/>
              <w:szCs w:val="44"/>
              <w:lang w:val="en-US" w:eastAsia="zh-CN" w:bidi="ar-SA"/>
            </w:rPr>
            <w:t>昌都市卫生健康事业“十五五”发展规划</w:t>
          </w:r>
        </w:p>
      </w:sdtContent>
    </w:sdt>
    <w:p w14:paraId="03AF049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inorHAnsi" w:hAnsiTheme="minorHAnsi" w:eastAsiaTheme="minorEastAsia" w:cstheme="minorBidi"/>
          <w:kern w:val="2"/>
          <w:sz w:val="21"/>
          <w:szCs w:val="22"/>
          <w:lang w:val="en-US" w:eastAsia="zh-CN" w:bidi="ar-SA"/>
        </w:rPr>
      </w:pPr>
    </w:p>
    <w:p w14:paraId="1E9B77B7">
      <w:pPr>
        <w:bidi w:val="0"/>
        <w:rPr>
          <w:rFonts w:hint="default" w:asciiTheme="minorHAnsi" w:hAnsiTheme="minorHAnsi" w:eastAsiaTheme="minorEastAsia" w:cstheme="minorBidi"/>
          <w:kern w:val="2"/>
          <w:sz w:val="21"/>
          <w:szCs w:val="22"/>
          <w:lang w:val="en-US" w:eastAsia="zh-CN" w:bidi="ar-SA"/>
        </w:rPr>
      </w:pPr>
    </w:p>
    <w:p w14:paraId="0968C609">
      <w:pPr>
        <w:bidi w:val="0"/>
        <w:rPr>
          <w:rFonts w:hint="default"/>
          <w:lang w:val="en-US" w:eastAsia="zh-CN"/>
        </w:rPr>
      </w:pPr>
    </w:p>
    <w:p w14:paraId="4DA85DFD">
      <w:pPr>
        <w:bidi w:val="0"/>
        <w:rPr>
          <w:rFonts w:hint="default"/>
          <w:lang w:val="en-US" w:eastAsia="zh-CN"/>
        </w:rPr>
      </w:pPr>
    </w:p>
    <w:p w14:paraId="6A30EE54">
      <w:pPr>
        <w:bidi w:val="0"/>
        <w:rPr>
          <w:rFonts w:hint="default"/>
          <w:lang w:val="en-US" w:eastAsia="zh-CN"/>
        </w:rPr>
      </w:pPr>
    </w:p>
    <w:p w14:paraId="11EF6024">
      <w:pPr>
        <w:bidi w:val="0"/>
        <w:rPr>
          <w:rFonts w:hint="default"/>
          <w:lang w:val="en-US" w:eastAsia="zh-CN"/>
        </w:rPr>
      </w:pPr>
    </w:p>
    <w:p w14:paraId="2926A878">
      <w:pPr>
        <w:bidi w:val="0"/>
        <w:rPr>
          <w:rFonts w:hint="default"/>
          <w:lang w:val="en-US" w:eastAsia="zh-CN"/>
        </w:rPr>
      </w:pPr>
    </w:p>
    <w:p w14:paraId="33C5EE0D">
      <w:pPr>
        <w:bidi w:val="0"/>
        <w:rPr>
          <w:rFonts w:hint="default"/>
          <w:lang w:val="en-US" w:eastAsia="zh-CN"/>
        </w:rPr>
      </w:pPr>
    </w:p>
    <w:p w14:paraId="25B9F396">
      <w:pPr>
        <w:bidi w:val="0"/>
        <w:rPr>
          <w:rFonts w:hint="default"/>
          <w:lang w:val="en-US" w:eastAsia="zh-CN"/>
        </w:rPr>
      </w:pPr>
    </w:p>
    <w:p w14:paraId="53F47B52">
      <w:pPr>
        <w:bidi w:val="0"/>
        <w:rPr>
          <w:rFonts w:hint="default"/>
          <w:lang w:val="en-US" w:eastAsia="zh-CN"/>
        </w:rPr>
      </w:pPr>
    </w:p>
    <w:p w14:paraId="196FF0B3">
      <w:pPr>
        <w:bidi w:val="0"/>
        <w:rPr>
          <w:rFonts w:hint="default"/>
          <w:lang w:val="en-US" w:eastAsia="zh-CN"/>
        </w:rPr>
      </w:pPr>
    </w:p>
    <w:p w14:paraId="2319FA38">
      <w:pPr>
        <w:bidi w:val="0"/>
        <w:rPr>
          <w:rFonts w:hint="default"/>
          <w:lang w:val="en-US" w:eastAsia="zh-CN"/>
        </w:rPr>
      </w:pPr>
    </w:p>
    <w:p w14:paraId="4701D1B7">
      <w:pPr>
        <w:bidi w:val="0"/>
        <w:rPr>
          <w:rFonts w:hint="default"/>
          <w:lang w:val="en-US" w:eastAsia="zh-CN"/>
        </w:rPr>
      </w:pPr>
    </w:p>
    <w:p w14:paraId="7A5DB10C">
      <w:pPr>
        <w:bidi w:val="0"/>
        <w:rPr>
          <w:rFonts w:hint="default"/>
          <w:lang w:val="en-US" w:eastAsia="zh-CN"/>
        </w:rPr>
      </w:pPr>
    </w:p>
    <w:p w14:paraId="75D416ED">
      <w:pPr>
        <w:bidi w:val="0"/>
        <w:rPr>
          <w:rFonts w:hint="default"/>
          <w:lang w:val="en-US" w:eastAsia="zh-CN"/>
        </w:rPr>
      </w:pPr>
    </w:p>
    <w:p w14:paraId="494E58F2">
      <w:pPr>
        <w:bidi w:val="0"/>
        <w:rPr>
          <w:rFonts w:hint="default"/>
          <w:lang w:val="en-US" w:eastAsia="zh-CN"/>
        </w:rPr>
      </w:pPr>
    </w:p>
    <w:p w14:paraId="5C332265">
      <w:pPr>
        <w:bidi w:val="0"/>
        <w:rPr>
          <w:rFonts w:hint="default"/>
          <w:lang w:val="en-US" w:eastAsia="zh-CN"/>
        </w:rPr>
      </w:pPr>
    </w:p>
    <w:p w14:paraId="1B5EC220">
      <w:pPr>
        <w:bidi w:val="0"/>
        <w:rPr>
          <w:rFonts w:hint="default"/>
          <w:lang w:val="en-US" w:eastAsia="zh-CN"/>
        </w:rPr>
      </w:pPr>
    </w:p>
    <w:p w14:paraId="7161FB6E">
      <w:pPr>
        <w:bidi w:val="0"/>
        <w:rPr>
          <w:rFonts w:hint="default"/>
          <w:lang w:val="en-US" w:eastAsia="zh-CN"/>
        </w:rPr>
      </w:pPr>
    </w:p>
    <w:p w14:paraId="615EFBC6">
      <w:pPr>
        <w:bidi w:val="0"/>
        <w:rPr>
          <w:rFonts w:hint="default"/>
          <w:lang w:val="en-US" w:eastAsia="zh-CN"/>
        </w:rPr>
      </w:pPr>
    </w:p>
    <w:p w14:paraId="560B3652">
      <w:pPr>
        <w:bidi w:val="0"/>
        <w:rPr>
          <w:rFonts w:hint="default"/>
          <w:lang w:val="en-US" w:eastAsia="zh-CN"/>
        </w:rPr>
      </w:pPr>
    </w:p>
    <w:p w14:paraId="2420F3BD">
      <w:pPr>
        <w:bidi w:val="0"/>
        <w:rPr>
          <w:rFonts w:hint="default"/>
          <w:lang w:val="en-US" w:eastAsia="zh-CN"/>
        </w:rPr>
      </w:pPr>
    </w:p>
    <w:sdt>
      <w:sdtPr>
        <w:rPr>
          <w:rFonts w:hint="default" w:asciiTheme="minorHAnsi" w:hAnsiTheme="minorHAnsi" w:eastAsiaTheme="minorEastAsia" w:cstheme="minorBidi"/>
          <w:kern w:val="2"/>
          <w:sz w:val="21"/>
          <w:szCs w:val="22"/>
          <w:lang w:val="en-US" w:eastAsia="zh-CN" w:bidi="ar-SA"/>
        </w:rPr>
        <w:id w:val="147482781"/>
        <w:placeholder>
          <w:docPart w:val="{da514a7c-6393-4296-ba0b-0ac4f79e9a9d}"/>
        </w:placeholder>
        <w:dataBinding w:prefixMappings="xmlns:ns0='http://purl.org/dc/elements/1.1/' xmlns:ns1='http://schemas.openxmlformats.org/package/2006/metadata/core-properties' " w:xpath="/ns1:coreProperties[1]/ns0:creator[1]" w:storeItemID="{6C3C8BC8-F283-45AE-878A-BAB7291924A1}"/>
        <w:text/>
      </w:sdtPr>
      <w:sdtEndPr>
        <w:rPr>
          <w:rFonts w:hint="default" w:asciiTheme="minorHAnsi" w:hAnsiTheme="minorHAnsi" w:eastAsiaTheme="minorEastAsia" w:cstheme="minorBidi"/>
          <w:kern w:val="2"/>
          <w:sz w:val="16"/>
          <w:szCs w:val="18"/>
          <w:lang w:val="en-US" w:eastAsia="zh-CN" w:bidi="ar-SA"/>
        </w:rPr>
      </w:sdtEndPr>
      <w:sdtContent>
        <w:p w14:paraId="707F0604">
          <w:pPr>
            <w:bidi w:val="0"/>
            <w:jc w:val="center"/>
            <w:rPr>
              <w:rFonts w:hint="eastAsia" w:ascii="黑体" w:hAnsi="黑体" w:eastAsia="黑体" w:cs="Times New Roman"/>
              <w:sz w:val="36"/>
              <w:szCs w:val="16"/>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方正公文小标宋" w:hAnsi="方正公文小标宋" w:eastAsia="方正公文小标宋" w:cs="方正公文小标宋"/>
              <w:b w:val="0"/>
              <w:bCs w:val="0"/>
              <w:color w:val="auto"/>
              <w:kern w:val="2"/>
              <w:sz w:val="32"/>
              <w:szCs w:val="32"/>
              <w:lang w:val="en-US" w:eastAsia="zh-CN" w:bidi="ar-SA"/>
            </w:rPr>
            <w:t>昌都市卫生健康委员会</w:t>
          </w:r>
        </w:p>
      </w:sdtContent>
    </w:sdt>
    <w:sdt>
      <w:sdtPr>
        <w:rPr>
          <w:rFonts w:ascii="宋体" w:hAnsi="宋体" w:eastAsia="宋体" w:cs="Arial"/>
          <w:snapToGrid w:val="0"/>
          <w:color w:val="000000"/>
          <w:kern w:val="0"/>
          <w:sz w:val="21"/>
          <w:szCs w:val="21"/>
          <w:lang w:val="en-US" w:eastAsia="en-US" w:bidi="ar-SA"/>
        </w:rPr>
        <w:id w:val="147472890"/>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5A690C56">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目录</w:t>
          </w:r>
        </w:p>
        <w:p w14:paraId="25EF6089">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TOC \o "1-3" \h \u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_Toc28541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一、 规划背景</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_Toc28541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6A43533">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_Toc28443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（一） 发展基础</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_Toc28443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19F12598">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_Toc19392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（二） 发展形势</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_Toc19392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7EF63C0E">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_Toc17032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二、 总体要求</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_Toc17032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38DDCED">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_Toc6782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（一） 指导思想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_Toc6782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4D8F268">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_Toc30304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（二） 基本原则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_Toc30304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54E345EE">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_Toc11612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（三） 主要目标</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_Toc11612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C67F750">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_Toc1713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三、 主要任务</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_Toc1713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90A9634">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_Toc9538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（一） 构建强大公共卫生体系，筑牢健康安全屏障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_Toc9538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13</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50439F9E">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_Toc6544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（二） 优化医疗服务体系布局，推动优质医疗资源扩容下沉</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_Toc6544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16</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84E763A">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_Toc7576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（三） 深化医药卫生体制改革，提升行业治理现代化水平</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_Toc7576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434FB72">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_Toc15321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（四） 全周期保障重点人群健康，促进人口高质量发展</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_Toc7576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06BD5CC">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_Toc14964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（五） 推动藏医药传承创新发展，打造藏东特色医药品牌</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_Toc14964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24A04D4A">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_Toc26938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（六） 强化科技创新与数字赋能，培育卫生健康新质生产力</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_Toc26938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8318EE9">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_Toc30998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（七） 统筹发展和安全，防范化解卫生健康领域重大风险</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_Toc30998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25</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1160CA07">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_Toc24874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四、 保障措施</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_Toc24874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26</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A8D739C">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_Toc23911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（一） 强化组织领导，压实部门职责</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_Toc23911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26</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199EA48A">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_Toc6392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（二） 健全制度保障，强化法治支撑</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_Toc6392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5996E33C">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_Toc11353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（三） 加大投入力度，强化资金保障</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_Toc11353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27</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985CB1A">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_Toc23336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（四） 强化监测评估，严格考核问责</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_Toc23336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8288EC5">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_Toc8791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（五） 营造良好氛围，凝聚社会合力</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_Toc8791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5ECBB40">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_Toc26275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五、 环境影响评价</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_Toc26275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DB4A598">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_Toc20009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（一） 评价总则</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_Toc20009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28</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B8F7F60">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_Toc13452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（二） 环境现状分析</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_Toc13452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8040893">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_Toc15346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（三） 规划实施的环境影响分析</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_Toc15346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29</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412F6BE9">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_Toc451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（四） 环境保护措施</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_Toc451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33602F53">
          <w:pPr>
            <w:pStyle w:val="10"/>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_Toc14648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val="0"/>
              <w:sz w:val="24"/>
              <w:szCs w:val="24"/>
              <w:lang w:val="en-US" w:eastAsia="zh-CN"/>
            </w:rPr>
            <w:t>（五） 评价结论</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_Toc14648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6FAEF82F">
          <w:pPr>
            <w:pStyle w:val="9"/>
            <w:tabs>
              <w:tab w:val="right" w:leader="dot" w:pos="8306"/>
            </w:tabs>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\l _Toc24911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bCs/>
              <w:sz w:val="24"/>
              <w:szCs w:val="24"/>
              <w:lang w:val="en-US" w:eastAsia="zh-CN"/>
            </w:rPr>
            <w:t>六、 结语</w:t>
          </w:r>
          <w:r>
            <w:rPr>
              <w:rFonts w:hint="eastAsia" w:ascii="方正仿宋_GB2312" w:hAnsi="方正仿宋_GB2312" w:eastAsia="方正仿宋_GB2312" w:cs="方正仿宋_GB2312"/>
              <w:sz w:val="24"/>
              <w:szCs w:val="24"/>
            </w:rPr>
            <w:tab/>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PAGEREF _Toc24911 \h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32</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fldChar w:fldCharType="end"/>
          </w:r>
        </w:p>
        <w:p w14:paraId="0FCC383F">
          <w:pPr>
            <w:keepNext w:val="0"/>
            <w:keepLines w:val="0"/>
            <w:pageBreakBefore w:val="0"/>
            <w:widowControl w:val="0"/>
            <w:tabs>
              <w:tab w:val="left" w:pos="4175"/>
            </w:tabs>
            <w:kinsoku/>
            <w:wordWrap/>
            <w:overflowPunct/>
            <w:topLinePunct w:val="0"/>
            <w:autoSpaceDE/>
            <w:autoSpaceDN/>
            <w:bidi w:val="0"/>
            <w:adjustRightInd/>
            <w:snapToGrid/>
            <w:spacing w:line="576" w:lineRule="exact"/>
            <w:ind w:firstLine="0" w:firstLineChars="0"/>
            <w:jc w:val="center"/>
            <w:textAlignment w:val="auto"/>
            <w:rPr>
              <w:rFonts w:ascii="宋体" w:hAnsi="宋体" w:eastAsia="宋体" w:cs="Arial"/>
              <w:snapToGrid w:val="0"/>
              <w:color w:val="000000"/>
              <w:kern w:val="0"/>
              <w:sz w:val="21"/>
              <w:szCs w:val="21"/>
              <w:lang w:val="en-US" w:eastAsia="en-US" w:bidi="ar-SA"/>
            </w:rPr>
          </w:pPr>
          <w:r>
            <w:rPr>
              <w:rFonts w:hint="eastAsia" w:ascii="方正仿宋_GB2312" w:hAnsi="方正仿宋_GB2312" w:eastAsia="方正仿宋_GB2312" w:cs="方正仿宋_GB2312"/>
              <w:sz w:val="24"/>
              <w:szCs w:val="24"/>
            </w:rPr>
            <w:fldChar w:fldCharType="end"/>
          </w:r>
        </w:p>
      </w:sdtContent>
    </w:sdt>
    <w:p w14:paraId="794ACA3C">
      <w:pPr>
        <w:keepNext w:val="0"/>
        <w:keepLines w:val="0"/>
        <w:pageBreakBefore w:val="0"/>
        <w:widowControl w:val="0"/>
        <w:tabs>
          <w:tab w:val="left" w:pos="4175"/>
        </w:tabs>
        <w:kinsoku/>
        <w:wordWrap/>
        <w:overflowPunct/>
        <w:topLinePunct w:val="0"/>
        <w:autoSpaceDE/>
        <w:autoSpaceDN/>
        <w:bidi w:val="0"/>
        <w:adjustRightInd/>
        <w:snapToGrid/>
        <w:spacing w:line="576" w:lineRule="exact"/>
        <w:ind w:firstLine="0" w:firstLineChars="0"/>
        <w:jc w:val="center"/>
        <w:textAlignment w:val="auto"/>
        <w:rPr>
          <w:rFonts w:hint="eastAsia" w:ascii="宋体" w:hAnsi="宋体" w:eastAsia="宋体" w:cs="Arial"/>
          <w:snapToGrid w:val="0"/>
          <w:color w:val="000000"/>
          <w:kern w:val="0"/>
          <w:sz w:val="21"/>
          <w:szCs w:val="21"/>
          <w:lang w:val="en-US" w:eastAsia="zh-CN" w:bidi="ar-SA"/>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0B81EE6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民健康是社会主义现代化新昌都建设的核心支撑，是筑牢边疆稳定与高质量发展的坚实根基。为全面推进健康昌都建设，高质量发展卫生健康事业，根据《西藏自治区国民经济和社会发展第十五个五年规划纲要》、《健康西藏 2030 规划纲要》、《昌都市国民经济和社会发展第十五个五年规划纲要》等文件精神，结合昌都市高原地理特征、民族特色与卫生健康发展实际，编制本规划。</w:t>
      </w:r>
    </w:p>
    <w:p w14:paraId="0532819E">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eastAsia" w:ascii="黑体" w:hAnsi="黑体" w:eastAsia="黑体" w:cs="黑体"/>
          <w:b w:val="0"/>
          <w:bCs/>
          <w:sz w:val="32"/>
          <w:szCs w:val="32"/>
          <w:lang w:val="en-US" w:eastAsia="zh-CN"/>
        </w:rPr>
      </w:pPr>
      <w:bookmarkStart w:id="0" w:name="_Toc28541"/>
      <w:r>
        <w:rPr>
          <w:rFonts w:hint="eastAsia" w:ascii="黑体" w:hAnsi="黑体" w:eastAsia="黑体" w:cs="黑体"/>
          <w:b w:val="0"/>
          <w:bCs/>
          <w:sz w:val="32"/>
          <w:szCs w:val="32"/>
          <w:lang w:val="en-US" w:eastAsia="zh-CN"/>
        </w:rPr>
        <w:t>规划背景</w:t>
      </w:r>
      <w:bookmarkEnd w:id="0"/>
    </w:p>
    <w:p w14:paraId="2B06EDE2">
      <w:pPr>
        <w:pStyle w:val="3"/>
        <w:pageBreakBefore w:val="0"/>
        <w:widowControl/>
        <w:numPr>
          <w:ilvl w:val="0"/>
          <w:numId w:val="2"/>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 w:name="_Toc28443"/>
      <w:r>
        <w:rPr>
          <w:rFonts w:hint="eastAsia" w:ascii="方正楷体_GB2312" w:hAnsi="方正楷体_GB2312" w:eastAsia="方正楷体_GB2312" w:cs="方正楷体_GB2312"/>
          <w:b/>
          <w:bCs w:val="0"/>
          <w:sz w:val="32"/>
          <w:szCs w:val="32"/>
          <w:lang w:val="en-US" w:eastAsia="zh-CN"/>
        </w:rPr>
        <w:t>发展基础</w:t>
      </w:r>
      <w:bookmarkEnd w:id="1"/>
    </w:p>
    <w:p w14:paraId="7A43B25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党的十八大以来，特别是 “十四五” 时期，在习近平新时代中国特色社会主义思想指引下，昌都市委、市政府将人民健康置于优先发展战略地位，全市卫生健康系统聚焦 “四件大事”、聚力 “四个创建”，紧扣 “五个针对” 工作要求，借力天津、重庆、福建对口援藏优势，攻坚克难、锐意进取，卫生健康事业取得跨越式发展，各族群众健康获得感、幸福感、安全感显著增强。</w:t>
      </w:r>
    </w:p>
    <w:p w14:paraId="1B4E9C56">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健康水平稳步提升，核心指标领跑藏东。</w:t>
      </w:r>
      <w:r>
        <w:rPr>
          <w:rFonts w:hint="eastAsia" w:ascii="方正仿宋_GB2312" w:hAnsi="方正仿宋_GB2312" w:eastAsia="方正仿宋_GB2312" w:cs="方正仿宋_GB2312"/>
          <w:sz w:val="32"/>
          <w:szCs w:val="32"/>
          <w:lang w:val="en-US" w:eastAsia="zh-CN"/>
        </w:rPr>
        <w:t>全市人均预期寿命提升至 73.4岁，孕产妇死亡率降至 17.87/10 万，婴儿死亡率降至 4.56‰，5岁以下儿童死亡率降至 5.45‰，主要健康指标居全区地市级前列。地方病防控成效显著，包虫病患病率从 1% 降至 0.17%，大骨节病实现 “零新发病例” 并通过国家终期评估；累计完成 44.096 万人次包虫病筛查、9.4万名妇女 “两癌” 筛查，妇幼儿童健康保障网越织越密。</w:t>
      </w:r>
    </w:p>
    <w:p w14:paraId="282BA3C0">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default" w:ascii="方正仿宋_GB2312" w:hAnsi="方正仿宋_GB2312" w:eastAsia="方正仿宋_GB2312" w:cs="方正仿宋_GB2312"/>
          <w:sz w:val="32"/>
          <w:szCs w:val="32"/>
          <w:lang w:val="en-US" w:eastAsia="zh-CN"/>
        </w:rPr>
      </w:pPr>
      <w:bookmarkStart w:id="2" w:name="_Toc15370"/>
      <w:r>
        <w:rPr>
          <w:rFonts w:hint="default" w:ascii="方正仿宋_GB2312" w:hAnsi="方正仿宋_GB2312" w:eastAsia="方正仿宋_GB2312" w:cs="方正仿宋_GB2312"/>
          <w:b/>
          <w:bCs/>
          <w:sz w:val="32"/>
          <w:szCs w:val="32"/>
          <w:lang w:val="en-US" w:eastAsia="zh-CN"/>
        </w:rPr>
        <w:t>援藏帮扶多维发力，构建 “输血 + 造血” 双轨模式</w:t>
      </w:r>
      <w:bookmarkEnd w:id="2"/>
      <w:r>
        <w:rPr>
          <w:rFonts w:hint="eastAsia" w:ascii="方正仿宋_GB2312" w:hAnsi="方正仿宋_GB2312" w:eastAsia="方正仿宋_GB2312" w:cs="方正仿宋_GB2312"/>
          <w:b/>
          <w:bCs/>
          <w:sz w:val="32"/>
          <w:szCs w:val="32"/>
          <w:lang w:val="en-US" w:eastAsia="zh-CN"/>
        </w:rPr>
        <w:t>。</w:t>
      </w:r>
      <w:r>
        <w:rPr>
          <w:rFonts w:hint="default" w:ascii="方正仿宋_GB2312" w:hAnsi="方正仿宋_GB2312" w:eastAsia="方正仿宋_GB2312" w:cs="方正仿宋_GB2312"/>
          <w:sz w:val="32"/>
          <w:szCs w:val="32"/>
          <w:lang w:val="en-US" w:eastAsia="zh-CN"/>
        </w:rPr>
        <w:t>依托天津、重庆、福建对口援藏优势，构建 “硬件升级 + 人才培育 + 学科突破” 立体化援藏体系，为卫生健康事业跨越式发展注入核心动力。天津援藏：</w:t>
      </w:r>
      <w:r>
        <w:rPr>
          <w:rFonts w:hint="default" w:ascii="方正仿宋_GB2312" w:hAnsi="方正仿宋_GB2312" w:eastAsia="方正仿宋_GB2312" w:cs="方正仿宋_GB2312"/>
          <w:sz w:val="32"/>
          <w:szCs w:val="32"/>
          <w:highlight w:val="none"/>
          <w:lang w:val="en-US" w:eastAsia="zh-CN"/>
        </w:rPr>
        <w:t>累计投入近 3 亿元实施 115 项市、县、乡三级医疗基建项目，</w:t>
      </w:r>
      <w:r>
        <w:rPr>
          <w:rFonts w:hint="default" w:ascii="方正仿宋_GB2312" w:hAnsi="方正仿宋_GB2312" w:eastAsia="方正仿宋_GB2312" w:cs="方正仿宋_GB2312"/>
          <w:sz w:val="32"/>
          <w:szCs w:val="32"/>
          <w:lang w:val="en-US" w:eastAsia="zh-CN"/>
        </w:rPr>
        <w:t>投入 3000 万元推进市藏医院 “三甲” 提质改造，3 个月内建成现代化 ICU，重症患者外转率下降 70%；斥资 1900 万元打造 “互联网 + 医疗健康” 项目，构建辐射多县区的智慧医疗网络，实现 “基层检查、内地诊断”。重庆援藏：推动 11 个重点科室纳入重庆医科大学附属第一医院医联体，儿科升级为国家级临床重点专科，建成 “五大中心” 年救治急症患者超 5000 人次；协助建成西藏首个高原临床药理学联合重点实验室，推动市人民医院绩效考核居全区地市级首位并通过 “三甲” 复评。福建援藏：通过 “闽昌名师工作室”“云课堂” 联动开展健康宣教，覆盖师生超 1.5 万人次；搭建跨域协作平台，年均组织 20 余名骨干医师赴闽进修，重点提升妇产、儿科、疾控等领域能力。</w:t>
      </w:r>
    </w:p>
    <w:p w14:paraId="71D222C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医疗服务体系日趋完善，援藏帮扶成效深远。</w:t>
      </w:r>
      <w:r>
        <w:rPr>
          <w:rFonts w:hint="eastAsia" w:ascii="方正仿宋_GB2312" w:hAnsi="方正仿宋_GB2312" w:eastAsia="方正仿宋_GB2312" w:cs="方正仿宋_GB2312"/>
          <w:sz w:val="32"/>
          <w:szCs w:val="32"/>
          <w:lang w:val="en-US" w:eastAsia="zh-CN"/>
        </w:rPr>
        <w:t>“十四五” 以来，昌都市卫生系统实施基础设施项目23 个，总投资5亿余元，资金来源为国家投资、援藏投资、自治区财政投资三类，覆盖市级医疗、藏医药、基层卫生院、村卫生室、医疗物资储备等领域。构建 “市 - 县 - 乡 - 村” 四级医疗卫生服务网络，医疗卫生机构床位数达每千人口 5.8张，执业（助理）医师数达每千人口 2.76 人，注册护士数达每千人口 2.27 人。创新 “输血 + 造血” 双轨援藏模式，累计投入近 3亿元实施 115 项医疗基建项目，市人民医院通过 “三甲” 复评并完成血透中心、新生儿科建设，市藏医院推进 “三甲” 提质改造，启动省级区域医疗中心建设项目。全市建成国家级临床重点专科1个、批复建设市级临床重点专科30个及5个市级临床专病诊疗中心。昌都市人民医院胸痛、卒中、创伤、危重孕产妇、危重儿童及新生儿救治中心通过国家和自治区评审认证。推动县级人民医院建设“五大救治单元”，验收批复胸痛救治单元4个、卒中救治单元1个、创伤救治单元4个、市级危重孕产妇救治中心4个、市级危重儿童和新生儿救治中心2个。强化医疗质量安全，设置自治区级医疗质控中心1个，市级医疗质控中心17个，指导县区设置县级医疗质控中心8个。11 个县区形成 “一县一特色” 发展格局，2025 年，遴选芒康县纳西民族乡等 11 个乡镇卫生院打造县域卫生次中心；推动江达、芒康、洛隆、丁青 4 县建设市级区域医疗中心，县域就诊率大幅提升，基本实现 “小病不出乡、常见病在县”。</w:t>
      </w:r>
    </w:p>
    <w:p w14:paraId="41C75BE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藏医药特色优势凸显，产业文化深度融合。</w:t>
      </w:r>
      <w:r>
        <w:rPr>
          <w:rFonts w:hint="eastAsia" w:ascii="方正仿宋_GB2312" w:hAnsi="方正仿宋_GB2312" w:eastAsia="方正仿宋_GB2312" w:cs="方正仿宋_GB2312"/>
          <w:sz w:val="32"/>
          <w:szCs w:val="32"/>
          <w:lang w:val="en-US" w:eastAsia="zh-CN"/>
        </w:rPr>
        <w:t>建成 “市藏医院为龙头、县藏医院为枢纽、乡镇藏医馆为网底” 的藏医药服务体系，9 家县级藏医院达 “一级甲等” 标准，乡镇藏医馆建成率 85.5%，村卫生室藏医药服务覆盖率超 65%。完成藏药厂改制，建成 “四基地一中心” 藏医药产业园区，仙露藏药厂升级为规上企业，3 家 GMP 藏药生产企业 2025 年完成藏药产量 99.02 吨，实现工业总产值 6308.07 万元、工业销售产值 4730.74 万元；拥有自治区级商标 3 个、国药准字号药品 56 个、制剂备案品种 347 个。藏药材种植面积达 480 亩、种类 60 类，年均产量约 300 吨，边坝县林麝养殖基地存栏 273 头，成年林麝成活率 95%、幼崽成活率 73%，均超全国平均水平。成功举办第五届三江藏医药学术交流会，整编出版《昌都藏医药》《昌都藏医药古籍文献精选集》，编制 30 套藏医优势病种诊疗方案，住院病人藏药使用率 99%，“藏医药浴法” 传承创新成效显著。</w:t>
      </w:r>
    </w:p>
    <w:p w14:paraId="021110E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改革创新纵深推进，治理效能持续提升。</w:t>
      </w:r>
      <w:r>
        <w:rPr>
          <w:rFonts w:hint="eastAsia" w:ascii="方正仿宋_GB2312" w:hAnsi="方正仿宋_GB2312" w:eastAsia="方正仿宋_GB2312" w:cs="方正仿宋_GB2312"/>
          <w:sz w:val="32"/>
          <w:szCs w:val="32"/>
          <w:lang w:val="en-US" w:eastAsia="zh-CN"/>
        </w:rPr>
        <w:t>2024 年入选中央财政支持公立医院改革与高质量发展示范项目，获批补助资金 5 亿元，填补西藏空白。建成全民健康信息化平台并通过国家四级乙等测评，远程医疗年服务农牧民超 10 万人次；制定《昌都市医学检查检验项目互认清单》，推进 208 项医学检查检验结果互认，全年互认项目 2790 例，为患者节约费用 43 万元。基层医疗卫生机构标准化率从 50% 提升至 80%，推行 “一次挂号管三天” 等便民措施，门诊、住院患者满意度均超 96%；组建 652 支家庭医生团队，签约服务群众 50.05 万人，重点人群覆盖率 87.76%，三类重点监测对象入户核实率、分类救治率、家庭医生签约率均达 100%。</w:t>
      </w:r>
    </w:p>
    <w:p w14:paraId="61AC0E3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公共卫生防线坚实牢固，应急能力显著增强。</w:t>
      </w:r>
      <w:r>
        <w:rPr>
          <w:rFonts w:hint="eastAsia" w:ascii="方正仿宋_GB2312" w:hAnsi="方正仿宋_GB2312" w:eastAsia="方正仿宋_GB2312" w:cs="方正仿宋_GB2312"/>
          <w:sz w:val="32"/>
          <w:szCs w:val="32"/>
          <w:lang w:val="en-US" w:eastAsia="zh-CN"/>
        </w:rPr>
        <w:t>建立覆盖市、县、乡、村四级疾控网络，完成 4 个县区传染病病区改扩建，建成 23 家核酸检测实验室，组建市级应急队伍和 11 支县级背囊化小分队，突发公共卫生事件平均响应时间缩短至 1.5 小时。完成市120急救指挥中心建设，市级2家三甲医院、11县（区）人民医院、132家乡镇卫生院、1家军队医院、2家民营医院纳入调度系统，接入救护车95辆，市县乡三级院前医疗急救体系逐步完善会诊转诊服务中心硬件建设，举办突发事件紧急医学救援应急演练，妥善处置丁青县 6.01 山体滑坡紧急医疗救援；国家免疫规划疫苗综合接种率达 95.02%，20 剂次接种率均超 90%。加强生物安全和血液安全管理，圆满完成国家生物安全中期评估，加大团体献血组织动员力度，保障血液供应稳定，建立覆盖市县的采供血服务体系，强化调配机制，应对季节性、区域性、偏型性血液紧张，确保危急重症患者（如孕产妇、创伤患者等）优先用血。</w:t>
      </w:r>
    </w:p>
    <w:p w14:paraId="3544E94C">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民生实事落地见效，健康福祉持续增进。</w:t>
      </w:r>
      <w:r>
        <w:rPr>
          <w:rFonts w:hint="eastAsia" w:ascii="方正仿宋_GB2312" w:hAnsi="方正仿宋_GB2312" w:eastAsia="方正仿宋_GB2312" w:cs="方正仿宋_GB2312"/>
          <w:sz w:val="32"/>
          <w:szCs w:val="32"/>
          <w:lang w:val="en-US" w:eastAsia="zh-CN"/>
        </w:rPr>
        <w:t>“五个针对” 工作全面落实，“组团式” 援藏医疗专家 “师带徒” 289 对，填补区域医疗技术空白 100 余项，助力本地人才独立开展诊疗技术 290 余项，完善制度规范 1000 余项</w:t>
      </w:r>
      <w:r>
        <w:rPr>
          <w:rFonts w:hint="eastAsia" w:ascii="方正仿宋_GB2312" w:hAnsi="方正仿宋_GB2312" w:eastAsia="方正仿宋_GB2312" w:cs="方正仿宋_GB2312"/>
          <w:sz w:val="32"/>
          <w:szCs w:val="32"/>
          <w:highlight w:val="none"/>
          <w:lang w:val="en-US" w:eastAsia="zh-CN"/>
        </w:rPr>
        <w:t>。2025年手</w:t>
      </w:r>
      <w:r>
        <w:rPr>
          <w:rFonts w:hint="eastAsia" w:ascii="方正仿宋_GB2312" w:hAnsi="方正仿宋_GB2312" w:eastAsia="方正仿宋_GB2312" w:cs="方正仿宋_GB2312"/>
          <w:sz w:val="32"/>
          <w:szCs w:val="32"/>
          <w:lang w:val="en-US" w:eastAsia="zh-CN"/>
        </w:rPr>
        <w:t>术救治大骨节病存量患者</w:t>
      </w:r>
      <w:r>
        <w:rPr>
          <w:rFonts w:hint="eastAsia" w:ascii="方正仿宋_GB2312" w:hAnsi="方正仿宋_GB2312" w:eastAsia="方正仿宋_GB2312" w:cs="方正仿宋_GB2312"/>
          <w:sz w:val="32"/>
          <w:szCs w:val="32"/>
          <w:highlight w:val="none"/>
          <w:lang w:val="en-US" w:eastAsia="zh-CN"/>
        </w:rPr>
        <w:t xml:space="preserve"> 16 人、包虫病患者 54 人，筛查先心病 30185 人、手术救治 291例，筛查白内障患者 5537 名、手术救治 1343 </w:t>
      </w:r>
      <w:r>
        <w:rPr>
          <w:rFonts w:hint="eastAsia" w:ascii="方正仿宋_GB2312" w:hAnsi="方正仿宋_GB2312" w:eastAsia="方正仿宋_GB2312" w:cs="方正仿宋_GB2312"/>
          <w:sz w:val="32"/>
          <w:szCs w:val="32"/>
          <w:lang w:val="en-US" w:eastAsia="zh-CN"/>
        </w:rPr>
        <w:t>名；深入推进国民营养计划，居民健康素养水平提升至 28.23%。全力落实国家育儿补贴政策，符合发放条件50625人，实际发放16038.9万元，完成率100%；开展宫颈癌筛查201192人次、乳腺癌筛查201180人次，适龄在校女生 HPV 疫苗自愿接种率 100%，累计接种第一针26659剂次、第二针19005剂次（含第三针1596剂次）。</w:t>
      </w:r>
    </w:p>
    <w:p w14:paraId="70226FE1">
      <w:pPr>
        <w:pStyle w:val="3"/>
        <w:pageBreakBefore w:val="0"/>
        <w:widowControl/>
        <w:numPr>
          <w:ilvl w:val="0"/>
          <w:numId w:val="2"/>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3" w:name="_Toc19392"/>
      <w:r>
        <w:rPr>
          <w:rFonts w:hint="default" w:ascii="方正楷体_GB2312" w:hAnsi="方正楷体_GB2312" w:eastAsia="方正楷体_GB2312" w:cs="方正楷体_GB2312"/>
          <w:b/>
          <w:bCs w:val="0"/>
          <w:sz w:val="32"/>
          <w:szCs w:val="32"/>
          <w:lang w:val="en-US" w:eastAsia="zh-CN"/>
        </w:rPr>
        <w:t>发展形势</w:t>
      </w:r>
      <w:bookmarkEnd w:id="3"/>
    </w:p>
    <w:p w14:paraId="28CD669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“十五五” 时期是昌都与全国一道基本实现社会主义现代化的关键筑基期，卫生健康事业发展面临前所未有的战略机遇，也面临多重挑战的叠加考验。</w:t>
      </w:r>
    </w:p>
    <w:p w14:paraId="09F7D40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战略机遇叠加赋能：</w:t>
      </w:r>
      <w:r>
        <w:rPr>
          <w:rFonts w:hint="eastAsia" w:ascii="方正仿宋_GB2312" w:hAnsi="方正仿宋_GB2312" w:eastAsia="方正仿宋_GB2312" w:cs="方正仿宋_GB2312"/>
          <w:sz w:val="32"/>
          <w:szCs w:val="32"/>
          <w:lang w:val="en-US" w:eastAsia="zh-CN"/>
        </w:rPr>
        <w:t>国家 “健康中国 2030”、乡村振兴、“新时代西部大开发” 等战略深入实施，为昌都争取政策、项目、资金支持创造了有利条件。川藏铁路等重大基础设施项目推进，交通、能源、通讯保障持续改善，为医疗资源优化布局、服务辐射延伸提供了硬件支撑。大数据、人工智能、5G 等新技术与医疗健康深度融合，远程医疗、智慧医院建设突破高原地理限制，让偏远地区群众便捷享受优质服务成为可能。“组团式” 援藏模式从 “输血” 向 “造血” 转型，为本土人才培养、学科建设注入持续动力。</w:t>
      </w:r>
    </w:p>
    <w:p w14:paraId="2A53018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现实挑战亟待破解：</w:t>
      </w:r>
      <w:r>
        <w:rPr>
          <w:rFonts w:hint="eastAsia" w:ascii="方正仿宋_GB2312" w:hAnsi="方正仿宋_GB2312" w:eastAsia="方正仿宋_GB2312" w:cs="方正仿宋_GB2312"/>
          <w:sz w:val="32"/>
          <w:szCs w:val="32"/>
          <w:lang w:val="en-US" w:eastAsia="zh-CN"/>
        </w:rPr>
        <w:t>一是资源布局不均衡问题突出，优质医疗资源集中在市区，偏远乡镇卫生院和村卫生室服务能力薄弱，人员编制总量不足与结构性缺编并存，市藏医院、市妇保院编制缺口较大，床护比、医护比未完全达标。二是人才队伍建设短板明显，高层次领军人才、学科带头人匮乏，基层人才 “引不进、留不住、用不上”，公共卫生、全科医学、儿科、精神科等紧缺专业人才不足，市疾控中心非公卫专业技术人员占比达 43.89%。三是服务体系效能有待提升，分级诊疗制度尚未完全落地，紧密型县域医共体 “六个统一” 管理未充分实现，医疗机构间信息互通共享不足。四是高原环境制约显著，高海拔、地广人稀导致医疗可及性不足，医疗设备运行维护成本高，突发公共卫生事件应急响应、物资调配受地理条件限制。五是疾病防控压力持续存在，高寒缺氧等高原环境导致儿童先心病、白内障等疾病发病率高于全国平均水平，结核病、乙肝等传染病防控压力较大，作为西藏东大门，重大传染病疫情输入性风险突出。六是科研创新支撑不足，高原病研究、藏医药科研力量偏弱，经费投入不足，成果转化机制不健全；藏药材资源保护力度不够，道地大宗药材规范化种植面积不足，产业市场竞争力薄弱。</w:t>
      </w:r>
    </w:p>
    <w:p w14:paraId="14EC864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“十五五” 时期，必须牢牢把握战略机遇，直面突出问题，巩固拓展优势、破除体制机制障碍、补齐短板弱项，以健康昌都建设为统领，全方位、全周期保障各族群众健康，为昌都长治久安和高质量发展筑牢健康根基。</w:t>
      </w:r>
    </w:p>
    <w:p w14:paraId="71A81B8B">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eastAsia" w:ascii="黑体" w:hAnsi="黑体" w:eastAsia="黑体" w:cs="黑体"/>
          <w:b w:val="0"/>
          <w:bCs/>
          <w:sz w:val="32"/>
          <w:szCs w:val="32"/>
          <w:lang w:val="en-US" w:eastAsia="zh-CN"/>
        </w:rPr>
      </w:pPr>
      <w:bookmarkStart w:id="4" w:name="_Toc17032"/>
      <w:r>
        <w:rPr>
          <w:rFonts w:hint="eastAsia" w:ascii="黑体" w:hAnsi="黑体" w:eastAsia="黑体" w:cs="黑体"/>
          <w:b w:val="0"/>
          <w:bCs/>
          <w:sz w:val="32"/>
          <w:szCs w:val="32"/>
          <w:lang w:val="en-US" w:eastAsia="zh-CN"/>
        </w:rPr>
        <w:t>总体要求</w:t>
      </w:r>
      <w:bookmarkEnd w:id="4"/>
    </w:p>
    <w:p w14:paraId="6FD126E4">
      <w:pPr>
        <w:pStyle w:val="3"/>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5" w:name="_Toc6782"/>
      <w:r>
        <w:rPr>
          <w:rFonts w:hint="default" w:ascii="方正楷体_GB2312" w:hAnsi="方正楷体_GB2312" w:eastAsia="方正楷体_GB2312" w:cs="方正楷体_GB2312"/>
          <w:b/>
          <w:bCs w:val="0"/>
          <w:sz w:val="32"/>
          <w:szCs w:val="32"/>
          <w:lang w:val="en-US" w:eastAsia="zh-CN"/>
        </w:rPr>
        <w:t>指导思想</w:t>
      </w:r>
      <w:bookmarkEnd w:id="5"/>
    </w:p>
    <w:p w14:paraId="1813CE4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坚持以习近平新时代中国特色社会主义思想为指导，深入贯彻党的二十大和二十届历次全会精神，全面落实习近平总书记关于西藏工作的重要指示、新时代党的治藏方略和卫生与健康工作方针，以铸牢中华民族共同体意识为主线，以人民健康为中心，以健康昌都建设为统领，坚持健康优先、预防为主、藏西医并重、改革创新、均衡发展，推动卫生健康事业从以治病为中心向以人民健康为中心转变。聚焦高原疾病防治、特色藏医药发展、基层能力提升、全生命周期健康服务等重点任务，深化医药卫生体制改革，优化医疗资源配置，强化人才队伍建设，完善公共卫生体系，全方位、全周期维护各族群众健康，为昌都长治久安和高质量发展提供坚实健康保障。</w:t>
      </w:r>
    </w:p>
    <w:p w14:paraId="54D74D2C">
      <w:pPr>
        <w:pStyle w:val="3"/>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6" w:name="_Toc30304"/>
      <w:r>
        <w:rPr>
          <w:rFonts w:hint="default" w:ascii="方正楷体_GB2312" w:hAnsi="方正楷体_GB2312" w:eastAsia="方正楷体_GB2312" w:cs="方正楷体_GB2312"/>
          <w:b/>
          <w:bCs w:val="0"/>
          <w:sz w:val="32"/>
          <w:szCs w:val="32"/>
          <w:lang w:val="en-US" w:eastAsia="zh-CN"/>
        </w:rPr>
        <w:t>基本原则</w:t>
      </w:r>
      <w:bookmarkEnd w:id="6"/>
    </w:p>
    <w:p w14:paraId="3F63E32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坚持党的领导，政治引领。</w:t>
      </w:r>
      <w:r>
        <w:rPr>
          <w:rFonts w:hint="eastAsia" w:ascii="方正仿宋_GB2312" w:hAnsi="方正仿宋_GB2312" w:eastAsia="方正仿宋_GB2312" w:cs="方正仿宋_GB2312"/>
          <w:sz w:val="32"/>
          <w:szCs w:val="32"/>
          <w:lang w:val="en-US" w:eastAsia="zh-CN"/>
        </w:rPr>
        <w:t>把党的全面领导贯穿卫生健康事业发展全过程、各方面，确保事业发展正确政治方向。强化各级政府主体责任，健全党委领导、政府主导、部门协同、社会参与的工作格局，将健康融入所有政策，保障医疗卫生事业公益属性。</w:t>
      </w:r>
    </w:p>
    <w:p w14:paraId="4A0A38AE">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坚持人民至上，健康优先。</w:t>
      </w:r>
      <w:r>
        <w:rPr>
          <w:rFonts w:hint="eastAsia" w:ascii="方正仿宋_GB2312" w:hAnsi="方正仿宋_GB2312" w:eastAsia="方正仿宋_GB2312" w:cs="方正仿宋_GB2312"/>
          <w:sz w:val="32"/>
          <w:szCs w:val="32"/>
          <w:lang w:val="en-US" w:eastAsia="zh-CN"/>
        </w:rPr>
        <w:t>以各族群众健康需求为导向，聚焦看病就医 “急难愁盼” 问题，优化服务流程、提升服务质量，完善全生命周期健康服务体系，让发展成果更多更公平惠及全体群众，推动实现全民健康。</w:t>
      </w:r>
    </w:p>
    <w:p w14:paraId="6CBFB8FB">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坚持预防为主，医防融合。</w:t>
      </w:r>
      <w:r>
        <w:rPr>
          <w:rFonts w:hint="eastAsia" w:ascii="方正仿宋_GB2312" w:hAnsi="方正仿宋_GB2312" w:eastAsia="方正仿宋_GB2312" w:cs="方正仿宋_GB2312"/>
          <w:sz w:val="32"/>
          <w:szCs w:val="32"/>
          <w:lang w:val="en-US" w:eastAsia="zh-CN"/>
        </w:rPr>
        <w:t>树立 “大卫生、大健康” 理念，推动关口前移，深化疾病预防控制体系改革，健全医防协同、医防融合机制，加强重点传染病、地方病、慢性病防控，筑牢公共卫生安全屏障。</w:t>
      </w:r>
    </w:p>
    <w:p w14:paraId="31E5C816">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坚持藏西医并重，特色发展。</w:t>
      </w:r>
      <w:r>
        <w:rPr>
          <w:rFonts w:hint="eastAsia" w:ascii="方正仿宋_GB2312" w:hAnsi="方正仿宋_GB2312" w:eastAsia="方正仿宋_GB2312" w:cs="方正仿宋_GB2312"/>
          <w:sz w:val="32"/>
          <w:szCs w:val="32"/>
          <w:lang w:val="en-US" w:eastAsia="zh-CN"/>
        </w:rPr>
        <w:t>充分发挥藏医药在 “治未病”、疾病治疗、康复保健中的独特优势，促进藏西医在临床诊疗、人才培养、科研创新等方面协同发展，推动藏医药传承创新，打造藏东特色卫生健康品牌。</w:t>
      </w:r>
    </w:p>
    <w:p w14:paraId="5CA1F524">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坚持均衡布局，重心下沉。</w:t>
      </w:r>
      <w:r>
        <w:rPr>
          <w:rFonts w:hint="eastAsia" w:ascii="方正仿宋_GB2312" w:hAnsi="方正仿宋_GB2312" w:eastAsia="方正仿宋_GB2312" w:cs="方正仿宋_GB2312"/>
          <w:sz w:val="32"/>
          <w:szCs w:val="32"/>
          <w:lang w:val="en-US" w:eastAsia="zh-CN"/>
        </w:rPr>
        <w:t>聚焦城乡、区域发展不平衡问题，推动优质医疗资源扩容下沉，强化基层医疗卫生机构标准化建设，完善县域医共体建设，缩小城乡、区域医疗服务差距，提升健康服务公平可及性。</w:t>
      </w:r>
    </w:p>
    <w:p w14:paraId="4D8C3E22">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坚持改革创新，赋能增效。</w:t>
      </w:r>
      <w:r>
        <w:rPr>
          <w:rFonts w:hint="eastAsia" w:ascii="方正仿宋_GB2312" w:hAnsi="方正仿宋_GB2312" w:eastAsia="方正仿宋_GB2312" w:cs="方正仿宋_GB2312"/>
          <w:sz w:val="32"/>
          <w:szCs w:val="32"/>
          <w:lang w:val="en-US" w:eastAsia="zh-CN"/>
        </w:rPr>
        <w:t>深化医药卫生体制改革，强化 “三医” 联动，破除体制机制障碍，优化人才培养、引进、使用机制，推进科技创新和数字化转型，提升卫生健康治理体系和治理能力现代化水平。</w:t>
      </w:r>
    </w:p>
    <w:p w14:paraId="3F16BE5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坚持人才为本，科技驱动。</w:t>
      </w:r>
      <w:r>
        <w:rPr>
          <w:rFonts w:hint="eastAsia" w:ascii="方正仿宋_GB2312" w:hAnsi="方正仿宋_GB2312" w:eastAsia="方正仿宋_GB2312" w:cs="方正仿宋_GB2312"/>
          <w:sz w:val="32"/>
          <w:szCs w:val="32"/>
          <w:lang w:val="en-US" w:eastAsia="zh-CN"/>
        </w:rPr>
        <w:t>把人才队伍建设摆在优先战略位置，实施人才强卫工程，完善人才培养、引进、激励机制，加强高层次人才和基层实用型人才培养。强化科技创新引领，推动高原医学研究、适宜技术推广，以科技赋能卫生健康事业高质量发展。</w:t>
      </w:r>
    </w:p>
    <w:p w14:paraId="03040489">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坚持生态引领，绿色发展。</w:t>
      </w:r>
      <w:r>
        <w:rPr>
          <w:rFonts w:hint="eastAsia" w:ascii="方正仿宋_GB2312" w:hAnsi="方正仿宋_GB2312" w:eastAsia="方正仿宋_GB2312" w:cs="方正仿宋_GB2312"/>
          <w:sz w:val="32"/>
          <w:szCs w:val="32"/>
          <w:lang w:val="en-US" w:eastAsia="zh-CN"/>
        </w:rPr>
        <w:t>践行 “绿水青山就是金山银山、冰天雪地也是金山银山” 理念，将生态环境保护融入医疗卫生机构规划、建设、运营全过程，推动绿色医院建设，加强医疗污染物治理，促进人与自然和谐共生。</w:t>
      </w:r>
    </w:p>
    <w:p w14:paraId="4D6DD112">
      <w:pPr>
        <w:pStyle w:val="3"/>
        <w:pageBreakBefore w:val="0"/>
        <w:widowControl/>
        <w:numPr>
          <w:ilvl w:val="0"/>
          <w:numId w:val="3"/>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7" w:name="_Toc11612"/>
      <w:r>
        <w:rPr>
          <w:rFonts w:hint="default" w:ascii="方正楷体_GB2312" w:hAnsi="方正楷体_GB2312" w:eastAsia="方正楷体_GB2312" w:cs="方正楷体_GB2312"/>
          <w:b/>
          <w:bCs w:val="0"/>
          <w:sz w:val="32"/>
          <w:szCs w:val="32"/>
          <w:lang w:val="en-US" w:eastAsia="zh-CN"/>
        </w:rPr>
        <w:t>主要目标</w:t>
      </w:r>
      <w:bookmarkEnd w:id="7"/>
    </w:p>
    <w:p w14:paraId="25A95CE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到 2030 年，基本建成与社会主义现代化新昌都目标相适应、与经济社会发展水平相匹配的整合型、智慧化、高质量卫生健康服务体系。公共卫生防护网更加牢固，重大疫情和突发公共卫生事件应对能力显著增强；优质医疗资源配置更加均衡，基层医疗卫生服务能力全面升级；覆盖全生命周期的健康服务体系更加完善，重点人群健康得到有效保障；中医药（藏医药）特色优势充分发挥；“互联网 + 医疗健康” 广泛应用；绿色医院建设全面推进，生态健康融合机制基本形成。居民主要健康指标持续改善，人均预期寿命稳步提高，健康公平性显著提升，人民群众健康福祉达到新水平，为 2035 年基本建成健康昌都提供坚实支撑。</w:t>
      </w:r>
    </w:p>
    <w:p w14:paraId="19BDF66E">
      <w:pPr>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方正仿宋_GB2312" w:hAnsi="方正仿宋_GB2312" w:eastAsia="方正仿宋_GB2312" w:cs="方正仿宋_GB2312"/>
          <w:b/>
          <w:bCs/>
          <w:sz w:val="32"/>
          <w:szCs w:val="32"/>
          <w:u w:val="double"/>
          <w:lang w:val="en-US" w:eastAsia="zh-CN"/>
        </w:rPr>
      </w:pPr>
      <w:r>
        <w:rPr>
          <w:rFonts w:hint="eastAsia" w:ascii="方正仿宋_GB2312" w:hAnsi="方正仿宋_GB2312" w:eastAsia="方正仿宋_GB2312" w:cs="方正仿宋_GB2312"/>
          <w:b/>
          <w:bCs/>
          <w:sz w:val="32"/>
          <w:szCs w:val="32"/>
          <w:u w:val="double"/>
        </w:rPr>
        <w:t>昌都市 “十五五” 卫生健康事业发展主要目标</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0"/>
        <w:gridCol w:w="1811"/>
        <w:gridCol w:w="1811"/>
        <w:gridCol w:w="1811"/>
        <w:gridCol w:w="1813"/>
      </w:tblGrid>
      <w:tr w14:paraId="3A52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blHeader/>
        </w:trPr>
        <w:tc>
          <w:tcPr>
            <w:tcW w:w="99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688A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类别</w:t>
            </w:r>
          </w:p>
        </w:tc>
        <w:tc>
          <w:tcPr>
            <w:tcW w:w="999" w:type="pct"/>
            <w:tcBorders>
              <w:top w:val="single" w:color="000000" w:sz="8" w:space="0"/>
              <w:left w:val="nil"/>
              <w:bottom w:val="single" w:color="000000" w:sz="8" w:space="0"/>
              <w:right w:val="single" w:color="000000" w:sz="8" w:space="0"/>
            </w:tcBorders>
            <w:shd w:val="clear" w:color="auto" w:fill="FFFFFF"/>
            <w:vAlign w:val="center"/>
          </w:tcPr>
          <w:p w14:paraId="0E98E3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主要指标</w:t>
            </w:r>
          </w:p>
        </w:tc>
        <w:tc>
          <w:tcPr>
            <w:tcW w:w="999" w:type="pct"/>
            <w:tcBorders>
              <w:top w:val="single" w:color="000000" w:sz="8" w:space="0"/>
              <w:left w:val="nil"/>
              <w:bottom w:val="single" w:color="000000" w:sz="8" w:space="0"/>
              <w:right w:val="single" w:color="000000" w:sz="8" w:space="0"/>
            </w:tcBorders>
            <w:shd w:val="clear" w:color="auto" w:fill="FFFFFF"/>
            <w:vAlign w:val="center"/>
          </w:tcPr>
          <w:p w14:paraId="37AFA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2025 年基期值</w:t>
            </w:r>
          </w:p>
        </w:tc>
        <w:tc>
          <w:tcPr>
            <w:tcW w:w="999" w:type="pct"/>
            <w:tcBorders>
              <w:top w:val="single" w:color="000000" w:sz="8" w:space="0"/>
              <w:left w:val="nil"/>
              <w:bottom w:val="single" w:color="000000" w:sz="8" w:space="0"/>
              <w:right w:val="single" w:color="000000" w:sz="8" w:space="0"/>
            </w:tcBorders>
            <w:shd w:val="clear" w:color="auto" w:fill="FFFFFF"/>
            <w:vAlign w:val="center"/>
          </w:tcPr>
          <w:p w14:paraId="6D1FF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2030 年目标值</w:t>
            </w:r>
          </w:p>
        </w:tc>
        <w:tc>
          <w:tcPr>
            <w:tcW w:w="1000" w:type="pct"/>
            <w:tcBorders>
              <w:top w:val="single" w:color="000000" w:sz="8" w:space="0"/>
              <w:left w:val="nil"/>
              <w:bottom w:val="single" w:color="000000" w:sz="8" w:space="0"/>
              <w:right w:val="single" w:color="000000" w:sz="8" w:space="0"/>
            </w:tcBorders>
            <w:shd w:val="clear" w:color="auto" w:fill="FFFFFF"/>
            <w:vAlign w:val="center"/>
          </w:tcPr>
          <w:p w14:paraId="33DA86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指标性质</w:t>
            </w:r>
          </w:p>
        </w:tc>
      </w:tr>
      <w:tr w14:paraId="36F3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restart"/>
            <w:tcBorders>
              <w:top w:val="nil"/>
              <w:left w:val="single" w:color="000000" w:sz="8" w:space="0"/>
              <w:bottom w:val="nil"/>
              <w:right w:val="single" w:color="000000" w:sz="8" w:space="0"/>
            </w:tcBorders>
            <w:shd w:val="clear" w:color="auto" w:fill="FFFFFF"/>
            <w:vAlign w:val="center"/>
          </w:tcPr>
          <w:p w14:paraId="07003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健康水平</w:t>
            </w:r>
          </w:p>
        </w:tc>
        <w:tc>
          <w:tcPr>
            <w:tcW w:w="999" w:type="pct"/>
            <w:tcBorders>
              <w:top w:val="nil"/>
              <w:left w:val="nil"/>
              <w:bottom w:val="single" w:color="000000" w:sz="8" w:space="0"/>
              <w:right w:val="single" w:color="000000" w:sz="8" w:space="0"/>
            </w:tcBorders>
            <w:shd w:val="clear" w:color="auto" w:fill="FFFFFF"/>
            <w:vAlign w:val="center"/>
          </w:tcPr>
          <w:p w14:paraId="649EBB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人均预期寿命（岁）</w:t>
            </w:r>
          </w:p>
        </w:tc>
        <w:tc>
          <w:tcPr>
            <w:tcW w:w="999" w:type="pct"/>
            <w:tcBorders>
              <w:top w:val="nil"/>
              <w:left w:val="nil"/>
              <w:bottom w:val="single" w:color="000000" w:sz="8" w:space="0"/>
              <w:right w:val="single" w:color="000000" w:sz="8" w:space="0"/>
            </w:tcBorders>
            <w:shd w:val="clear" w:color="auto" w:fill="FFFFFF"/>
            <w:vAlign w:val="center"/>
          </w:tcPr>
          <w:p w14:paraId="725E23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73.7</w:t>
            </w:r>
          </w:p>
        </w:tc>
        <w:tc>
          <w:tcPr>
            <w:tcW w:w="999" w:type="pct"/>
            <w:tcBorders>
              <w:top w:val="nil"/>
              <w:left w:val="nil"/>
              <w:bottom w:val="single" w:color="000000" w:sz="8" w:space="0"/>
              <w:right w:val="single" w:color="000000" w:sz="8" w:space="0"/>
            </w:tcBorders>
            <w:shd w:val="clear" w:color="auto" w:fill="FFFFFF"/>
            <w:vAlign w:val="center"/>
          </w:tcPr>
          <w:p w14:paraId="37E1E2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≥74.7</w:t>
            </w:r>
          </w:p>
        </w:tc>
        <w:tc>
          <w:tcPr>
            <w:tcW w:w="1000" w:type="pct"/>
            <w:tcBorders>
              <w:top w:val="nil"/>
              <w:left w:val="nil"/>
              <w:bottom w:val="single" w:color="000000" w:sz="8" w:space="0"/>
              <w:right w:val="single" w:color="000000" w:sz="8" w:space="0"/>
            </w:tcBorders>
            <w:shd w:val="clear" w:color="auto" w:fill="FFFFFF"/>
            <w:vAlign w:val="center"/>
          </w:tcPr>
          <w:p w14:paraId="57786E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5C18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99" w:type="pct"/>
            <w:vMerge w:val="continue"/>
            <w:tcBorders>
              <w:top w:val="nil"/>
              <w:left w:val="single" w:color="000000" w:sz="8" w:space="0"/>
              <w:bottom w:val="nil"/>
              <w:right w:val="single" w:color="000000" w:sz="8" w:space="0"/>
            </w:tcBorders>
            <w:shd w:val="clear" w:color="auto" w:fill="FFFFFF"/>
            <w:vAlign w:val="center"/>
          </w:tcPr>
          <w:p w14:paraId="17C4D4B0">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030E9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婴儿死亡率（‰）</w:t>
            </w:r>
          </w:p>
        </w:tc>
        <w:tc>
          <w:tcPr>
            <w:tcW w:w="999" w:type="pct"/>
            <w:tcBorders>
              <w:top w:val="nil"/>
              <w:left w:val="nil"/>
              <w:bottom w:val="single" w:color="000000" w:sz="8" w:space="0"/>
              <w:right w:val="single" w:color="000000" w:sz="8" w:space="0"/>
            </w:tcBorders>
            <w:shd w:val="clear" w:color="auto" w:fill="FFFFFF"/>
            <w:vAlign w:val="center"/>
          </w:tcPr>
          <w:p w14:paraId="6CECB6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4.56</w:t>
            </w:r>
          </w:p>
        </w:tc>
        <w:tc>
          <w:tcPr>
            <w:tcW w:w="999" w:type="pct"/>
            <w:tcBorders>
              <w:top w:val="nil"/>
              <w:left w:val="nil"/>
              <w:bottom w:val="single" w:color="000000" w:sz="8" w:space="0"/>
              <w:right w:val="single" w:color="000000" w:sz="8" w:space="0"/>
            </w:tcBorders>
            <w:shd w:val="clear" w:color="auto" w:fill="FFFFFF"/>
            <w:vAlign w:val="center"/>
          </w:tcPr>
          <w:p w14:paraId="4F22E6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≤4.0</w:t>
            </w:r>
          </w:p>
        </w:tc>
        <w:tc>
          <w:tcPr>
            <w:tcW w:w="1000" w:type="pct"/>
            <w:tcBorders>
              <w:top w:val="nil"/>
              <w:left w:val="nil"/>
              <w:bottom w:val="single" w:color="000000" w:sz="8" w:space="0"/>
              <w:right w:val="single" w:color="000000" w:sz="8" w:space="0"/>
            </w:tcBorders>
            <w:shd w:val="clear" w:color="auto" w:fill="FFFFFF"/>
            <w:vAlign w:val="center"/>
          </w:tcPr>
          <w:p w14:paraId="4CC8D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7355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continue"/>
            <w:tcBorders>
              <w:top w:val="nil"/>
              <w:left w:val="single" w:color="000000" w:sz="8" w:space="0"/>
              <w:bottom w:val="nil"/>
              <w:right w:val="single" w:color="000000" w:sz="8" w:space="0"/>
            </w:tcBorders>
            <w:shd w:val="clear" w:color="auto" w:fill="FFFFFF"/>
            <w:vAlign w:val="center"/>
          </w:tcPr>
          <w:p w14:paraId="6274162E">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3A2B4D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 岁以下儿童死亡率（‰）</w:t>
            </w:r>
          </w:p>
        </w:tc>
        <w:tc>
          <w:tcPr>
            <w:tcW w:w="999" w:type="pct"/>
            <w:tcBorders>
              <w:top w:val="nil"/>
              <w:left w:val="nil"/>
              <w:bottom w:val="single" w:color="000000" w:sz="8" w:space="0"/>
              <w:right w:val="single" w:color="000000" w:sz="8" w:space="0"/>
            </w:tcBorders>
            <w:shd w:val="clear" w:color="auto" w:fill="FFFFFF"/>
            <w:vAlign w:val="center"/>
          </w:tcPr>
          <w:p w14:paraId="7209A8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5.45</w:t>
            </w:r>
          </w:p>
        </w:tc>
        <w:tc>
          <w:tcPr>
            <w:tcW w:w="999" w:type="pct"/>
            <w:tcBorders>
              <w:top w:val="nil"/>
              <w:left w:val="nil"/>
              <w:bottom w:val="single" w:color="000000" w:sz="8" w:space="0"/>
              <w:right w:val="single" w:color="000000" w:sz="8" w:space="0"/>
            </w:tcBorders>
            <w:shd w:val="clear" w:color="auto" w:fill="FFFFFF"/>
            <w:vAlign w:val="center"/>
          </w:tcPr>
          <w:p w14:paraId="697C43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≤5.0</w:t>
            </w:r>
          </w:p>
        </w:tc>
        <w:tc>
          <w:tcPr>
            <w:tcW w:w="1000" w:type="pct"/>
            <w:tcBorders>
              <w:top w:val="nil"/>
              <w:left w:val="nil"/>
              <w:bottom w:val="single" w:color="000000" w:sz="8" w:space="0"/>
              <w:right w:val="single" w:color="000000" w:sz="8" w:space="0"/>
            </w:tcBorders>
            <w:shd w:val="clear" w:color="auto" w:fill="FFFFFF"/>
            <w:vAlign w:val="center"/>
          </w:tcPr>
          <w:p w14:paraId="2EC5C1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7EE6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nil"/>
              <w:right w:val="single" w:color="000000" w:sz="8" w:space="0"/>
            </w:tcBorders>
            <w:shd w:val="clear" w:color="auto" w:fill="FFFFFF"/>
            <w:vAlign w:val="center"/>
          </w:tcPr>
          <w:p w14:paraId="4A11CD43">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3997D4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孕产妇死亡率（/10 万）</w:t>
            </w:r>
          </w:p>
        </w:tc>
        <w:tc>
          <w:tcPr>
            <w:tcW w:w="999" w:type="pct"/>
            <w:tcBorders>
              <w:top w:val="nil"/>
              <w:left w:val="nil"/>
              <w:bottom w:val="single" w:color="000000" w:sz="8" w:space="0"/>
              <w:right w:val="single" w:color="000000" w:sz="8" w:space="0"/>
            </w:tcBorders>
            <w:shd w:val="clear" w:color="auto" w:fill="FFFFFF"/>
            <w:vAlign w:val="center"/>
          </w:tcPr>
          <w:p w14:paraId="61DD80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17.87</w:t>
            </w:r>
          </w:p>
        </w:tc>
        <w:tc>
          <w:tcPr>
            <w:tcW w:w="999" w:type="pct"/>
            <w:tcBorders>
              <w:top w:val="nil"/>
              <w:left w:val="nil"/>
              <w:bottom w:val="single" w:color="000000" w:sz="8" w:space="0"/>
              <w:right w:val="single" w:color="000000" w:sz="8" w:space="0"/>
            </w:tcBorders>
            <w:shd w:val="clear" w:color="auto" w:fill="FFFFFF"/>
            <w:vAlign w:val="center"/>
          </w:tcPr>
          <w:p w14:paraId="44476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≤25</w:t>
            </w:r>
          </w:p>
        </w:tc>
        <w:tc>
          <w:tcPr>
            <w:tcW w:w="1000" w:type="pct"/>
            <w:tcBorders>
              <w:top w:val="nil"/>
              <w:left w:val="nil"/>
              <w:bottom w:val="single" w:color="000000" w:sz="8" w:space="0"/>
              <w:right w:val="single" w:color="000000" w:sz="8" w:space="0"/>
            </w:tcBorders>
            <w:shd w:val="clear" w:color="auto" w:fill="FFFFFF"/>
            <w:vAlign w:val="center"/>
          </w:tcPr>
          <w:p w14:paraId="4DE808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022E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nil"/>
              <w:right w:val="single" w:color="000000" w:sz="8" w:space="0"/>
            </w:tcBorders>
            <w:shd w:val="clear" w:color="auto" w:fill="FFFFFF"/>
            <w:vAlign w:val="center"/>
          </w:tcPr>
          <w:p w14:paraId="5CFD3D69">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103E49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重大慢性病过早死亡率（%）</w:t>
            </w:r>
          </w:p>
        </w:tc>
        <w:tc>
          <w:tcPr>
            <w:tcW w:w="999" w:type="pct"/>
            <w:tcBorders>
              <w:top w:val="nil"/>
              <w:left w:val="nil"/>
              <w:bottom w:val="single" w:color="000000" w:sz="8" w:space="0"/>
              <w:right w:val="single" w:color="000000" w:sz="8" w:space="0"/>
            </w:tcBorders>
            <w:shd w:val="clear" w:color="auto" w:fill="FFFFFF"/>
            <w:vAlign w:val="center"/>
          </w:tcPr>
          <w:p w14:paraId="04A67A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18.5</w:t>
            </w:r>
          </w:p>
        </w:tc>
        <w:tc>
          <w:tcPr>
            <w:tcW w:w="999" w:type="pct"/>
            <w:tcBorders>
              <w:top w:val="nil"/>
              <w:left w:val="nil"/>
              <w:bottom w:val="single" w:color="000000" w:sz="8" w:space="0"/>
              <w:right w:val="single" w:color="000000" w:sz="8" w:space="0"/>
            </w:tcBorders>
            <w:shd w:val="clear" w:color="auto" w:fill="FFFFFF"/>
            <w:vAlign w:val="center"/>
          </w:tcPr>
          <w:p w14:paraId="42DF3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≤15</w:t>
            </w:r>
          </w:p>
        </w:tc>
        <w:tc>
          <w:tcPr>
            <w:tcW w:w="1000" w:type="pct"/>
            <w:tcBorders>
              <w:top w:val="nil"/>
              <w:left w:val="nil"/>
              <w:bottom w:val="single" w:color="000000" w:sz="8" w:space="0"/>
              <w:right w:val="single" w:color="000000" w:sz="8" w:space="0"/>
            </w:tcBorders>
            <w:shd w:val="clear" w:color="auto" w:fill="FFFFFF"/>
            <w:vAlign w:val="center"/>
          </w:tcPr>
          <w:p w14:paraId="413F7D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5A0D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999" w:type="pct"/>
            <w:vMerge w:val="continue"/>
            <w:tcBorders>
              <w:top w:val="nil"/>
              <w:left w:val="single" w:color="000000" w:sz="8" w:space="0"/>
              <w:bottom w:val="nil"/>
              <w:right w:val="single" w:color="000000" w:sz="8" w:space="0"/>
            </w:tcBorders>
            <w:shd w:val="clear" w:color="auto" w:fill="FFFFFF"/>
            <w:vAlign w:val="center"/>
          </w:tcPr>
          <w:p w14:paraId="346D0F06">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4655F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城乡居民达到《国民体质测定标准》合格以上的人数比例（</w:t>
            </w:r>
            <w:r>
              <w:rPr>
                <w:rStyle w:val="21"/>
                <w:rFonts w:hint="eastAsia" w:ascii="方正仿宋_GB2312" w:hAnsi="方正仿宋_GB2312" w:eastAsia="方正仿宋_GB2312" w:cs="方正仿宋_GB2312"/>
                <w:snapToGrid w:val="0"/>
                <w:color w:val="000000"/>
                <w:sz w:val="21"/>
                <w:szCs w:val="21"/>
                <w:lang w:val="en-US" w:eastAsia="zh-CN" w:bidi="ar"/>
              </w:rPr>
              <w:t>%</w:t>
            </w:r>
            <w:r>
              <w:rPr>
                <w:rStyle w:val="22"/>
                <w:rFonts w:hint="eastAsia" w:ascii="方正仿宋_GB2312" w:hAnsi="方正仿宋_GB2312" w:eastAsia="方正仿宋_GB2312" w:cs="方正仿宋_GB2312"/>
                <w:snapToGrid w:val="0"/>
                <w:color w:val="000000"/>
                <w:sz w:val="21"/>
                <w:szCs w:val="21"/>
                <w:lang w:val="en-US" w:eastAsia="zh-CN" w:bidi="ar"/>
              </w:rPr>
              <w:t>）</w:t>
            </w:r>
          </w:p>
        </w:tc>
        <w:tc>
          <w:tcPr>
            <w:tcW w:w="999" w:type="pct"/>
            <w:tcBorders>
              <w:top w:val="nil"/>
              <w:left w:val="nil"/>
              <w:bottom w:val="single" w:color="000000" w:sz="8" w:space="0"/>
              <w:right w:val="single" w:color="000000" w:sz="8" w:space="0"/>
            </w:tcBorders>
            <w:shd w:val="clear" w:color="auto" w:fill="FFFFFF"/>
            <w:vAlign w:val="center"/>
          </w:tcPr>
          <w:p w14:paraId="6FE7A2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81</w:t>
            </w:r>
          </w:p>
        </w:tc>
        <w:tc>
          <w:tcPr>
            <w:tcW w:w="999" w:type="pct"/>
            <w:tcBorders>
              <w:top w:val="nil"/>
              <w:left w:val="nil"/>
              <w:bottom w:val="single" w:color="000000" w:sz="8" w:space="0"/>
              <w:right w:val="single" w:color="000000" w:sz="8" w:space="0"/>
            </w:tcBorders>
            <w:shd w:val="clear" w:color="auto" w:fill="FFFFFF"/>
            <w:vAlign w:val="center"/>
          </w:tcPr>
          <w:p w14:paraId="6BE3AF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&gt;92</w:t>
            </w:r>
          </w:p>
        </w:tc>
        <w:tc>
          <w:tcPr>
            <w:tcW w:w="1000" w:type="pct"/>
            <w:tcBorders>
              <w:top w:val="nil"/>
              <w:left w:val="nil"/>
              <w:bottom w:val="single" w:color="000000" w:sz="8" w:space="0"/>
              <w:right w:val="single" w:color="000000" w:sz="8" w:space="0"/>
            </w:tcBorders>
            <w:shd w:val="clear" w:color="auto" w:fill="FFFFFF"/>
            <w:vAlign w:val="center"/>
          </w:tcPr>
          <w:p w14:paraId="082D08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55A9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restart"/>
            <w:tcBorders>
              <w:top w:val="nil"/>
              <w:left w:val="single" w:color="000000" w:sz="8" w:space="0"/>
              <w:bottom w:val="single" w:color="000000" w:sz="8" w:space="0"/>
              <w:right w:val="single" w:color="000000" w:sz="8" w:space="0"/>
            </w:tcBorders>
            <w:shd w:val="clear" w:color="auto" w:fill="FFFFFF"/>
            <w:vAlign w:val="center"/>
          </w:tcPr>
          <w:p w14:paraId="5E8F7A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健康生活</w:t>
            </w:r>
          </w:p>
        </w:tc>
        <w:tc>
          <w:tcPr>
            <w:tcW w:w="999" w:type="pct"/>
            <w:tcBorders>
              <w:top w:val="nil"/>
              <w:left w:val="nil"/>
              <w:bottom w:val="single" w:color="000000" w:sz="8" w:space="0"/>
              <w:right w:val="single" w:color="000000" w:sz="8" w:space="0"/>
            </w:tcBorders>
            <w:shd w:val="clear" w:color="auto" w:fill="FFFFFF"/>
            <w:vAlign w:val="center"/>
          </w:tcPr>
          <w:p w14:paraId="6162D0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居民健康素养水平（%）</w:t>
            </w:r>
          </w:p>
        </w:tc>
        <w:tc>
          <w:tcPr>
            <w:tcW w:w="999" w:type="pct"/>
            <w:tcBorders>
              <w:top w:val="nil"/>
              <w:left w:val="nil"/>
              <w:bottom w:val="single" w:color="000000" w:sz="8" w:space="0"/>
              <w:right w:val="single" w:color="000000" w:sz="8" w:space="0"/>
            </w:tcBorders>
            <w:shd w:val="clear" w:color="auto" w:fill="FFFFFF"/>
            <w:vAlign w:val="center"/>
          </w:tcPr>
          <w:p w14:paraId="05D452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28.23</w:t>
            </w:r>
          </w:p>
        </w:tc>
        <w:tc>
          <w:tcPr>
            <w:tcW w:w="999" w:type="pct"/>
            <w:tcBorders>
              <w:top w:val="nil"/>
              <w:left w:val="nil"/>
              <w:bottom w:val="single" w:color="000000" w:sz="8" w:space="0"/>
              <w:right w:val="single" w:color="000000" w:sz="8" w:space="0"/>
            </w:tcBorders>
            <w:shd w:val="clear" w:color="auto" w:fill="FFFFFF"/>
            <w:vAlign w:val="center"/>
          </w:tcPr>
          <w:p w14:paraId="173327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30</w:t>
            </w:r>
          </w:p>
        </w:tc>
        <w:tc>
          <w:tcPr>
            <w:tcW w:w="1000" w:type="pct"/>
            <w:tcBorders>
              <w:top w:val="nil"/>
              <w:left w:val="nil"/>
              <w:bottom w:val="single" w:color="000000" w:sz="8" w:space="0"/>
              <w:right w:val="single" w:color="000000" w:sz="8" w:space="0"/>
            </w:tcBorders>
            <w:shd w:val="clear" w:color="auto" w:fill="FFFFFF"/>
            <w:vAlign w:val="center"/>
          </w:tcPr>
          <w:p w14:paraId="017D9A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2C6C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5E74A228">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5175E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经常参加体育锻炼人数比例（%）</w:t>
            </w:r>
          </w:p>
        </w:tc>
        <w:tc>
          <w:tcPr>
            <w:tcW w:w="999" w:type="pct"/>
            <w:tcBorders>
              <w:top w:val="nil"/>
              <w:left w:val="nil"/>
              <w:bottom w:val="single" w:color="000000" w:sz="8" w:space="0"/>
              <w:right w:val="single" w:color="000000" w:sz="8" w:space="0"/>
            </w:tcBorders>
            <w:shd w:val="clear" w:color="auto" w:fill="FFFFFF"/>
            <w:vAlign w:val="center"/>
          </w:tcPr>
          <w:p w14:paraId="50403A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36</w:t>
            </w:r>
          </w:p>
        </w:tc>
        <w:tc>
          <w:tcPr>
            <w:tcW w:w="999" w:type="pct"/>
            <w:tcBorders>
              <w:top w:val="nil"/>
              <w:left w:val="nil"/>
              <w:bottom w:val="single" w:color="000000" w:sz="8" w:space="0"/>
              <w:right w:val="single" w:color="000000" w:sz="8" w:space="0"/>
            </w:tcBorders>
            <w:shd w:val="clear" w:color="auto" w:fill="FFFFFF"/>
            <w:vAlign w:val="center"/>
          </w:tcPr>
          <w:p w14:paraId="4F0CB8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≥40</w:t>
            </w:r>
          </w:p>
        </w:tc>
        <w:tc>
          <w:tcPr>
            <w:tcW w:w="1000" w:type="pct"/>
            <w:tcBorders>
              <w:top w:val="nil"/>
              <w:left w:val="nil"/>
              <w:bottom w:val="single" w:color="000000" w:sz="8" w:space="0"/>
              <w:right w:val="single" w:color="000000" w:sz="8" w:space="0"/>
            </w:tcBorders>
            <w:shd w:val="clear" w:color="auto" w:fill="FFFFFF"/>
            <w:vAlign w:val="center"/>
          </w:tcPr>
          <w:p w14:paraId="1A16A4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1482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6B79F1B4">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9C83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15 岁以上人群吸烟率（%）</w:t>
            </w:r>
          </w:p>
        </w:tc>
        <w:tc>
          <w:tcPr>
            <w:tcW w:w="999" w:type="pct"/>
            <w:tcBorders>
              <w:top w:val="nil"/>
              <w:left w:val="nil"/>
              <w:bottom w:val="single" w:color="000000" w:sz="8" w:space="0"/>
              <w:right w:val="single" w:color="000000" w:sz="8" w:space="0"/>
            </w:tcBorders>
            <w:shd w:val="clear" w:color="auto" w:fill="FFFFFF"/>
            <w:vAlign w:val="center"/>
          </w:tcPr>
          <w:p w14:paraId="35F746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18.2</w:t>
            </w:r>
          </w:p>
        </w:tc>
        <w:tc>
          <w:tcPr>
            <w:tcW w:w="999" w:type="pct"/>
            <w:tcBorders>
              <w:top w:val="nil"/>
              <w:left w:val="nil"/>
              <w:bottom w:val="single" w:color="000000" w:sz="8" w:space="0"/>
              <w:right w:val="single" w:color="000000" w:sz="8" w:space="0"/>
            </w:tcBorders>
            <w:shd w:val="clear" w:color="auto" w:fill="FFFFFF"/>
            <w:vAlign w:val="center"/>
          </w:tcPr>
          <w:p w14:paraId="450F09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&lt;20</w:t>
            </w:r>
          </w:p>
        </w:tc>
        <w:tc>
          <w:tcPr>
            <w:tcW w:w="1000" w:type="pct"/>
            <w:tcBorders>
              <w:top w:val="nil"/>
              <w:left w:val="nil"/>
              <w:bottom w:val="single" w:color="000000" w:sz="8" w:space="0"/>
              <w:right w:val="single" w:color="000000" w:sz="8" w:space="0"/>
            </w:tcBorders>
            <w:shd w:val="clear" w:color="auto" w:fill="FFFFFF"/>
            <w:vAlign w:val="center"/>
          </w:tcPr>
          <w:p w14:paraId="6014CE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4F84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restart"/>
            <w:tcBorders>
              <w:top w:val="nil"/>
              <w:left w:val="single" w:color="000000" w:sz="8" w:space="0"/>
              <w:bottom w:val="single" w:color="000000" w:sz="8" w:space="0"/>
              <w:right w:val="single" w:color="000000" w:sz="8" w:space="0"/>
            </w:tcBorders>
            <w:shd w:val="clear" w:color="auto" w:fill="FFFFFF"/>
            <w:vAlign w:val="center"/>
          </w:tcPr>
          <w:p w14:paraId="6AEC6F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健康体系</w:t>
            </w:r>
          </w:p>
        </w:tc>
        <w:tc>
          <w:tcPr>
            <w:tcW w:w="999" w:type="pct"/>
            <w:tcBorders>
              <w:top w:val="nil"/>
              <w:left w:val="nil"/>
              <w:bottom w:val="single" w:color="000000" w:sz="8" w:space="0"/>
              <w:right w:val="single" w:color="000000" w:sz="8" w:space="0"/>
            </w:tcBorders>
            <w:shd w:val="clear" w:color="auto" w:fill="FFFFFF"/>
            <w:vAlign w:val="center"/>
          </w:tcPr>
          <w:p w14:paraId="7FBA6A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每千人口医疗卫生机构床位数（张）</w:t>
            </w:r>
          </w:p>
        </w:tc>
        <w:tc>
          <w:tcPr>
            <w:tcW w:w="999" w:type="pct"/>
            <w:tcBorders>
              <w:top w:val="nil"/>
              <w:left w:val="nil"/>
              <w:bottom w:val="single" w:color="000000" w:sz="8" w:space="0"/>
              <w:right w:val="single" w:color="000000" w:sz="8" w:space="0"/>
            </w:tcBorders>
            <w:shd w:val="clear" w:color="auto" w:fill="FFFFFF"/>
            <w:vAlign w:val="center"/>
          </w:tcPr>
          <w:p w14:paraId="07A50E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5.8</w:t>
            </w:r>
          </w:p>
        </w:tc>
        <w:tc>
          <w:tcPr>
            <w:tcW w:w="999" w:type="pct"/>
            <w:tcBorders>
              <w:top w:val="nil"/>
              <w:left w:val="nil"/>
              <w:bottom w:val="single" w:color="000000" w:sz="8" w:space="0"/>
              <w:right w:val="single" w:color="000000" w:sz="8" w:space="0"/>
            </w:tcBorders>
            <w:shd w:val="clear" w:color="auto" w:fill="FFFFFF"/>
            <w:vAlign w:val="center"/>
          </w:tcPr>
          <w:p w14:paraId="32FC58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6.2</w:t>
            </w:r>
          </w:p>
        </w:tc>
        <w:tc>
          <w:tcPr>
            <w:tcW w:w="1000" w:type="pct"/>
            <w:tcBorders>
              <w:top w:val="nil"/>
              <w:left w:val="nil"/>
              <w:bottom w:val="single" w:color="000000" w:sz="8" w:space="0"/>
              <w:right w:val="single" w:color="000000" w:sz="8" w:space="0"/>
            </w:tcBorders>
            <w:shd w:val="clear" w:color="auto" w:fill="FFFFFF"/>
            <w:vAlign w:val="center"/>
          </w:tcPr>
          <w:p w14:paraId="0272B7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1E8D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5141807F">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A73F1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每千人口执业（助理）医师数（人）</w:t>
            </w:r>
          </w:p>
        </w:tc>
        <w:tc>
          <w:tcPr>
            <w:tcW w:w="999" w:type="pct"/>
            <w:tcBorders>
              <w:top w:val="nil"/>
              <w:left w:val="nil"/>
              <w:bottom w:val="single" w:color="000000" w:sz="8" w:space="0"/>
              <w:right w:val="single" w:color="000000" w:sz="8" w:space="0"/>
            </w:tcBorders>
            <w:shd w:val="clear" w:color="auto" w:fill="FFFFFF"/>
            <w:vAlign w:val="center"/>
          </w:tcPr>
          <w:p w14:paraId="373B5C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2.76</w:t>
            </w:r>
          </w:p>
        </w:tc>
        <w:tc>
          <w:tcPr>
            <w:tcW w:w="999" w:type="pct"/>
            <w:tcBorders>
              <w:top w:val="nil"/>
              <w:left w:val="nil"/>
              <w:bottom w:val="single" w:color="000000" w:sz="8" w:space="0"/>
              <w:right w:val="single" w:color="000000" w:sz="8" w:space="0"/>
            </w:tcBorders>
            <w:shd w:val="clear" w:color="auto" w:fill="FFFFFF"/>
            <w:vAlign w:val="center"/>
          </w:tcPr>
          <w:p w14:paraId="387C88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3.2</w:t>
            </w:r>
          </w:p>
        </w:tc>
        <w:tc>
          <w:tcPr>
            <w:tcW w:w="1000" w:type="pct"/>
            <w:tcBorders>
              <w:top w:val="nil"/>
              <w:left w:val="nil"/>
              <w:bottom w:val="single" w:color="000000" w:sz="8" w:space="0"/>
              <w:right w:val="single" w:color="000000" w:sz="8" w:space="0"/>
            </w:tcBorders>
            <w:shd w:val="clear" w:color="auto" w:fill="FFFFFF"/>
            <w:vAlign w:val="center"/>
          </w:tcPr>
          <w:p w14:paraId="450EF4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1D60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3CBB6A52">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466CC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每千人口注册护士数（人）</w:t>
            </w:r>
          </w:p>
        </w:tc>
        <w:tc>
          <w:tcPr>
            <w:tcW w:w="999" w:type="pct"/>
            <w:tcBorders>
              <w:top w:val="nil"/>
              <w:left w:val="nil"/>
              <w:bottom w:val="single" w:color="000000" w:sz="8" w:space="0"/>
              <w:right w:val="single" w:color="000000" w:sz="8" w:space="0"/>
            </w:tcBorders>
            <w:shd w:val="clear" w:color="auto" w:fill="FFFFFF"/>
            <w:vAlign w:val="center"/>
          </w:tcPr>
          <w:p w14:paraId="4C98E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2.27</w:t>
            </w:r>
          </w:p>
        </w:tc>
        <w:tc>
          <w:tcPr>
            <w:tcW w:w="999" w:type="pct"/>
            <w:tcBorders>
              <w:top w:val="nil"/>
              <w:left w:val="nil"/>
              <w:bottom w:val="single" w:color="000000" w:sz="8" w:space="0"/>
              <w:right w:val="single" w:color="000000" w:sz="8" w:space="0"/>
            </w:tcBorders>
            <w:shd w:val="clear" w:color="auto" w:fill="FFFFFF"/>
            <w:vAlign w:val="center"/>
          </w:tcPr>
          <w:p w14:paraId="011901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3.2</w:t>
            </w:r>
          </w:p>
        </w:tc>
        <w:tc>
          <w:tcPr>
            <w:tcW w:w="1000" w:type="pct"/>
            <w:tcBorders>
              <w:top w:val="nil"/>
              <w:left w:val="nil"/>
              <w:bottom w:val="single" w:color="000000" w:sz="8" w:space="0"/>
              <w:right w:val="single" w:color="000000" w:sz="8" w:space="0"/>
            </w:tcBorders>
            <w:shd w:val="clear" w:color="auto" w:fill="FFFFFF"/>
            <w:vAlign w:val="center"/>
          </w:tcPr>
          <w:p w14:paraId="2060A1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2CD0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19B90159">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3AC90E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每千人口拥有 3 岁以下婴幼儿托位数（个）</w:t>
            </w:r>
          </w:p>
        </w:tc>
        <w:tc>
          <w:tcPr>
            <w:tcW w:w="999" w:type="pct"/>
            <w:tcBorders>
              <w:top w:val="nil"/>
              <w:left w:val="nil"/>
              <w:bottom w:val="single" w:color="000000" w:sz="8" w:space="0"/>
              <w:right w:val="single" w:color="000000" w:sz="8" w:space="0"/>
            </w:tcBorders>
            <w:shd w:val="clear" w:color="auto" w:fill="FFFFFF"/>
            <w:vAlign w:val="center"/>
          </w:tcPr>
          <w:p w14:paraId="7ADF63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0.8</w:t>
            </w:r>
          </w:p>
        </w:tc>
        <w:tc>
          <w:tcPr>
            <w:tcW w:w="999" w:type="pct"/>
            <w:tcBorders>
              <w:top w:val="nil"/>
              <w:left w:val="nil"/>
              <w:bottom w:val="single" w:color="000000" w:sz="8" w:space="0"/>
              <w:right w:val="single" w:color="000000" w:sz="8" w:space="0"/>
            </w:tcBorders>
            <w:shd w:val="clear" w:color="auto" w:fill="FFFFFF"/>
            <w:vAlign w:val="center"/>
          </w:tcPr>
          <w:p w14:paraId="209DE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1.5</w:t>
            </w:r>
          </w:p>
        </w:tc>
        <w:tc>
          <w:tcPr>
            <w:tcW w:w="1000" w:type="pct"/>
            <w:tcBorders>
              <w:top w:val="nil"/>
              <w:left w:val="nil"/>
              <w:bottom w:val="single" w:color="000000" w:sz="8" w:space="0"/>
              <w:right w:val="single" w:color="000000" w:sz="8" w:space="0"/>
            </w:tcBorders>
            <w:shd w:val="clear" w:color="auto" w:fill="FFFFFF"/>
            <w:vAlign w:val="center"/>
          </w:tcPr>
          <w:p w14:paraId="5E06A0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29B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337CFB90">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2754D4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每万人口全科医生数（人）</w:t>
            </w:r>
          </w:p>
        </w:tc>
        <w:tc>
          <w:tcPr>
            <w:tcW w:w="999" w:type="pct"/>
            <w:tcBorders>
              <w:top w:val="nil"/>
              <w:left w:val="nil"/>
              <w:bottom w:val="single" w:color="000000" w:sz="8" w:space="0"/>
              <w:right w:val="single" w:color="000000" w:sz="8" w:space="0"/>
            </w:tcBorders>
            <w:shd w:val="clear" w:color="auto" w:fill="FFFFFF"/>
            <w:vAlign w:val="center"/>
          </w:tcPr>
          <w:p w14:paraId="35761B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1.92</w:t>
            </w:r>
          </w:p>
        </w:tc>
        <w:tc>
          <w:tcPr>
            <w:tcW w:w="999" w:type="pct"/>
            <w:tcBorders>
              <w:top w:val="nil"/>
              <w:left w:val="nil"/>
              <w:bottom w:val="single" w:color="000000" w:sz="8" w:space="0"/>
              <w:right w:val="single" w:color="000000" w:sz="8" w:space="0"/>
            </w:tcBorders>
            <w:shd w:val="clear" w:color="auto" w:fill="FFFFFF"/>
            <w:vAlign w:val="center"/>
          </w:tcPr>
          <w:p w14:paraId="79177B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3.7</w:t>
            </w:r>
          </w:p>
        </w:tc>
        <w:tc>
          <w:tcPr>
            <w:tcW w:w="1000" w:type="pct"/>
            <w:tcBorders>
              <w:top w:val="nil"/>
              <w:left w:val="nil"/>
              <w:bottom w:val="single" w:color="000000" w:sz="8" w:space="0"/>
              <w:right w:val="single" w:color="000000" w:sz="8" w:space="0"/>
            </w:tcBorders>
            <w:shd w:val="clear" w:color="auto" w:fill="FFFFFF"/>
            <w:vAlign w:val="center"/>
          </w:tcPr>
          <w:p w14:paraId="51DFC0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6199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1A19E652">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43912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每万人口公共卫生人员数（人）</w:t>
            </w:r>
          </w:p>
        </w:tc>
        <w:tc>
          <w:tcPr>
            <w:tcW w:w="999" w:type="pct"/>
            <w:tcBorders>
              <w:top w:val="nil"/>
              <w:left w:val="nil"/>
              <w:bottom w:val="single" w:color="000000" w:sz="8" w:space="0"/>
              <w:right w:val="single" w:color="000000" w:sz="8" w:space="0"/>
            </w:tcBorders>
            <w:shd w:val="clear" w:color="auto" w:fill="FFFFFF"/>
            <w:vAlign w:val="center"/>
          </w:tcPr>
          <w:p w14:paraId="7803BD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4.43</w:t>
            </w:r>
          </w:p>
        </w:tc>
        <w:tc>
          <w:tcPr>
            <w:tcW w:w="999" w:type="pct"/>
            <w:tcBorders>
              <w:top w:val="nil"/>
              <w:left w:val="nil"/>
              <w:bottom w:val="single" w:color="000000" w:sz="8" w:space="0"/>
              <w:right w:val="single" w:color="000000" w:sz="8" w:space="0"/>
            </w:tcBorders>
            <w:shd w:val="clear" w:color="auto" w:fill="FFFFFF"/>
            <w:vAlign w:val="center"/>
          </w:tcPr>
          <w:p w14:paraId="2AD68E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w:t>
            </w:r>
          </w:p>
        </w:tc>
        <w:tc>
          <w:tcPr>
            <w:tcW w:w="1000" w:type="pct"/>
            <w:tcBorders>
              <w:top w:val="nil"/>
              <w:left w:val="nil"/>
              <w:bottom w:val="single" w:color="000000" w:sz="8" w:space="0"/>
              <w:right w:val="single" w:color="000000" w:sz="8" w:space="0"/>
            </w:tcBorders>
            <w:shd w:val="clear" w:color="auto" w:fill="FFFFFF"/>
            <w:vAlign w:val="center"/>
          </w:tcPr>
          <w:p w14:paraId="27C38D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5FC3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3026E128">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4FC916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二级以上综合性医院（含藏医医院）设老年医学科比例（%）</w:t>
            </w:r>
          </w:p>
        </w:tc>
        <w:tc>
          <w:tcPr>
            <w:tcW w:w="999" w:type="pct"/>
            <w:tcBorders>
              <w:top w:val="nil"/>
              <w:left w:val="nil"/>
              <w:bottom w:val="single" w:color="000000" w:sz="8" w:space="0"/>
              <w:right w:val="single" w:color="000000" w:sz="8" w:space="0"/>
            </w:tcBorders>
            <w:shd w:val="clear" w:color="auto" w:fill="FFFFFF"/>
            <w:vAlign w:val="center"/>
          </w:tcPr>
          <w:p w14:paraId="25C9D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60</w:t>
            </w:r>
          </w:p>
        </w:tc>
        <w:tc>
          <w:tcPr>
            <w:tcW w:w="999" w:type="pct"/>
            <w:tcBorders>
              <w:top w:val="nil"/>
              <w:left w:val="nil"/>
              <w:bottom w:val="single" w:color="000000" w:sz="8" w:space="0"/>
              <w:right w:val="single" w:color="000000" w:sz="8" w:space="0"/>
            </w:tcBorders>
            <w:shd w:val="clear" w:color="auto" w:fill="FFFFFF"/>
            <w:vAlign w:val="center"/>
          </w:tcPr>
          <w:p w14:paraId="02E23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≥90</w:t>
            </w:r>
          </w:p>
        </w:tc>
        <w:tc>
          <w:tcPr>
            <w:tcW w:w="1000" w:type="pct"/>
            <w:tcBorders>
              <w:top w:val="nil"/>
              <w:left w:val="nil"/>
              <w:bottom w:val="single" w:color="000000" w:sz="8" w:space="0"/>
              <w:right w:val="single" w:color="000000" w:sz="8" w:space="0"/>
            </w:tcBorders>
            <w:shd w:val="clear" w:color="auto" w:fill="FFFFFF"/>
            <w:vAlign w:val="center"/>
          </w:tcPr>
          <w:p w14:paraId="33433C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5848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restart"/>
            <w:tcBorders>
              <w:top w:val="nil"/>
              <w:left w:val="single" w:color="000000" w:sz="8" w:space="0"/>
              <w:bottom w:val="single" w:color="000000" w:sz="8" w:space="0"/>
              <w:right w:val="single" w:color="000000" w:sz="8" w:space="0"/>
            </w:tcBorders>
            <w:shd w:val="clear" w:color="auto" w:fill="FFFFFF"/>
            <w:vAlign w:val="center"/>
          </w:tcPr>
          <w:p w14:paraId="31503E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健康服务</w:t>
            </w:r>
          </w:p>
        </w:tc>
        <w:tc>
          <w:tcPr>
            <w:tcW w:w="999" w:type="pct"/>
            <w:tcBorders>
              <w:top w:val="nil"/>
              <w:left w:val="nil"/>
              <w:bottom w:val="single" w:color="000000" w:sz="8" w:space="0"/>
              <w:right w:val="single" w:color="000000" w:sz="8" w:space="0"/>
            </w:tcBorders>
            <w:shd w:val="clear" w:color="auto" w:fill="FFFFFF"/>
            <w:vAlign w:val="center"/>
          </w:tcPr>
          <w:p w14:paraId="53776F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孕产妇系统管理率和3岁以下儿童系统管理率（%）</w:t>
            </w:r>
          </w:p>
        </w:tc>
        <w:tc>
          <w:tcPr>
            <w:tcW w:w="999" w:type="pct"/>
            <w:tcBorders>
              <w:top w:val="nil"/>
              <w:left w:val="nil"/>
              <w:bottom w:val="single" w:color="000000" w:sz="8" w:space="0"/>
              <w:right w:val="single" w:color="000000" w:sz="8" w:space="0"/>
            </w:tcBorders>
            <w:shd w:val="clear" w:color="auto" w:fill="FFFFFF"/>
            <w:vAlign w:val="center"/>
          </w:tcPr>
          <w:p w14:paraId="77F143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87.74</w:t>
            </w:r>
          </w:p>
        </w:tc>
        <w:tc>
          <w:tcPr>
            <w:tcW w:w="999" w:type="pct"/>
            <w:tcBorders>
              <w:top w:val="nil"/>
              <w:left w:val="nil"/>
              <w:bottom w:val="single" w:color="000000" w:sz="8" w:space="0"/>
              <w:right w:val="single" w:color="000000" w:sz="8" w:space="0"/>
            </w:tcBorders>
            <w:shd w:val="clear" w:color="auto" w:fill="FFFFFF"/>
            <w:vAlign w:val="center"/>
          </w:tcPr>
          <w:p w14:paraId="4A6C33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≥90</w:t>
            </w:r>
          </w:p>
        </w:tc>
        <w:tc>
          <w:tcPr>
            <w:tcW w:w="1000" w:type="pct"/>
            <w:tcBorders>
              <w:top w:val="nil"/>
              <w:left w:val="nil"/>
              <w:bottom w:val="single" w:color="000000" w:sz="8" w:space="0"/>
              <w:right w:val="single" w:color="000000" w:sz="8" w:space="0"/>
            </w:tcBorders>
            <w:shd w:val="clear" w:color="auto" w:fill="FFFFFF"/>
            <w:vAlign w:val="center"/>
          </w:tcPr>
          <w:p w14:paraId="04C3F1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308F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7A030820">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64BC8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孕产妇住院分娩率（%）</w:t>
            </w:r>
          </w:p>
        </w:tc>
        <w:tc>
          <w:tcPr>
            <w:tcW w:w="999" w:type="pct"/>
            <w:tcBorders>
              <w:top w:val="nil"/>
              <w:left w:val="nil"/>
              <w:bottom w:val="single" w:color="000000" w:sz="8" w:space="0"/>
              <w:right w:val="single" w:color="000000" w:sz="8" w:space="0"/>
            </w:tcBorders>
            <w:shd w:val="clear" w:color="auto" w:fill="FFFFFF"/>
            <w:vAlign w:val="center"/>
          </w:tcPr>
          <w:p w14:paraId="1C16A2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99.01</w:t>
            </w:r>
          </w:p>
        </w:tc>
        <w:tc>
          <w:tcPr>
            <w:tcW w:w="999" w:type="pct"/>
            <w:tcBorders>
              <w:top w:val="nil"/>
              <w:left w:val="nil"/>
              <w:bottom w:val="single" w:color="000000" w:sz="8" w:space="0"/>
              <w:right w:val="single" w:color="000000" w:sz="8" w:space="0"/>
            </w:tcBorders>
            <w:shd w:val="clear" w:color="auto" w:fill="FFFFFF"/>
            <w:vAlign w:val="center"/>
          </w:tcPr>
          <w:p w14:paraId="5C9241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≥99</w:t>
            </w:r>
          </w:p>
        </w:tc>
        <w:tc>
          <w:tcPr>
            <w:tcW w:w="1000" w:type="pct"/>
            <w:tcBorders>
              <w:top w:val="nil"/>
              <w:left w:val="nil"/>
              <w:bottom w:val="single" w:color="000000" w:sz="8" w:space="0"/>
              <w:right w:val="single" w:color="000000" w:sz="8" w:space="0"/>
            </w:tcBorders>
            <w:shd w:val="clear" w:color="auto" w:fill="FFFFFF"/>
            <w:vAlign w:val="center"/>
          </w:tcPr>
          <w:p w14:paraId="2C623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1BC9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4F87130B">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61590B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以乡（镇、街道）为单位适龄儿童免疫规划疫苗接种率（%）</w:t>
            </w:r>
          </w:p>
        </w:tc>
        <w:tc>
          <w:tcPr>
            <w:tcW w:w="999" w:type="pct"/>
            <w:tcBorders>
              <w:top w:val="nil"/>
              <w:left w:val="nil"/>
              <w:bottom w:val="single" w:color="000000" w:sz="8" w:space="0"/>
              <w:right w:val="single" w:color="000000" w:sz="8" w:space="0"/>
            </w:tcBorders>
            <w:shd w:val="clear" w:color="auto" w:fill="FFFFFF"/>
            <w:vAlign w:val="center"/>
          </w:tcPr>
          <w:p w14:paraId="01A7DF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95.02</w:t>
            </w:r>
          </w:p>
        </w:tc>
        <w:tc>
          <w:tcPr>
            <w:tcW w:w="999" w:type="pct"/>
            <w:tcBorders>
              <w:top w:val="nil"/>
              <w:left w:val="nil"/>
              <w:bottom w:val="single" w:color="000000" w:sz="8" w:space="0"/>
              <w:right w:val="single" w:color="000000" w:sz="8" w:space="0"/>
            </w:tcBorders>
            <w:shd w:val="clear" w:color="auto" w:fill="FFFFFF"/>
            <w:vAlign w:val="center"/>
          </w:tcPr>
          <w:p w14:paraId="178BA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≥90</w:t>
            </w:r>
          </w:p>
        </w:tc>
        <w:tc>
          <w:tcPr>
            <w:tcW w:w="1000" w:type="pct"/>
            <w:tcBorders>
              <w:top w:val="nil"/>
              <w:left w:val="nil"/>
              <w:bottom w:val="single" w:color="000000" w:sz="8" w:space="0"/>
              <w:right w:val="single" w:color="000000" w:sz="8" w:space="0"/>
            </w:tcBorders>
            <w:shd w:val="clear" w:color="auto" w:fill="FFFFFF"/>
            <w:vAlign w:val="center"/>
          </w:tcPr>
          <w:p w14:paraId="48A268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r w14:paraId="100A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67A8D906">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B7BF3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严重精神障碍管理率（%）</w:t>
            </w:r>
          </w:p>
        </w:tc>
        <w:tc>
          <w:tcPr>
            <w:tcW w:w="999" w:type="pct"/>
            <w:tcBorders>
              <w:top w:val="nil"/>
              <w:left w:val="nil"/>
              <w:bottom w:val="single" w:color="000000" w:sz="8" w:space="0"/>
              <w:right w:val="single" w:color="000000" w:sz="8" w:space="0"/>
            </w:tcBorders>
            <w:shd w:val="clear" w:color="auto" w:fill="FFFFFF"/>
            <w:vAlign w:val="center"/>
          </w:tcPr>
          <w:p w14:paraId="12F3A0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97.19</w:t>
            </w:r>
          </w:p>
        </w:tc>
        <w:tc>
          <w:tcPr>
            <w:tcW w:w="999" w:type="pct"/>
            <w:tcBorders>
              <w:top w:val="nil"/>
              <w:left w:val="nil"/>
              <w:bottom w:val="single" w:color="000000" w:sz="8" w:space="0"/>
              <w:right w:val="single" w:color="000000" w:sz="8" w:space="0"/>
            </w:tcBorders>
            <w:shd w:val="clear" w:color="auto" w:fill="FFFFFF"/>
            <w:vAlign w:val="center"/>
          </w:tcPr>
          <w:p w14:paraId="5F97F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≥95</w:t>
            </w:r>
          </w:p>
        </w:tc>
        <w:tc>
          <w:tcPr>
            <w:tcW w:w="1000" w:type="pct"/>
            <w:tcBorders>
              <w:top w:val="nil"/>
              <w:left w:val="nil"/>
              <w:bottom w:val="single" w:color="000000" w:sz="8" w:space="0"/>
              <w:right w:val="single" w:color="000000" w:sz="8" w:space="0"/>
            </w:tcBorders>
            <w:shd w:val="clear" w:color="auto" w:fill="FFFFFF"/>
            <w:vAlign w:val="center"/>
          </w:tcPr>
          <w:p w14:paraId="1273C9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r w14:paraId="5757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23A1DA58">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36E29A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儿童青少年总体近视率（%）</w:t>
            </w:r>
          </w:p>
        </w:tc>
        <w:tc>
          <w:tcPr>
            <w:tcW w:w="999" w:type="pct"/>
            <w:tcBorders>
              <w:top w:val="nil"/>
              <w:left w:val="nil"/>
              <w:bottom w:val="single" w:color="000000" w:sz="8" w:space="0"/>
              <w:right w:val="single" w:color="000000" w:sz="8" w:space="0"/>
            </w:tcBorders>
            <w:shd w:val="clear" w:color="auto" w:fill="FFFFFF"/>
            <w:vAlign w:val="center"/>
          </w:tcPr>
          <w:p w14:paraId="79E784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50.67</w:t>
            </w:r>
          </w:p>
        </w:tc>
        <w:tc>
          <w:tcPr>
            <w:tcW w:w="999" w:type="pct"/>
            <w:tcBorders>
              <w:top w:val="nil"/>
              <w:left w:val="nil"/>
              <w:bottom w:val="single" w:color="000000" w:sz="8" w:space="0"/>
              <w:right w:val="single" w:color="000000" w:sz="8" w:space="0"/>
            </w:tcBorders>
            <w:shd w:val="clear" w:color="auto" w:fill="FFFFFF"/>
            <w:vAlign w:val="center"/>
          </w:tcPr>
          <w:p w14:paraId="48DEBF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&lt;45</w:t>
            </w:r>
          </w:p>
        </w:tc>
        <w:tc>
          <w:tcPr>
            <w:tcW w:w="1000" w:type="pct"/>
            <w:tcBorders>
              <w:top w:val="nil"/>
              <w:left w:val="nil"/>
              <w:bottom w:val="single" w:color="000000" w:sz="8" w:space="0"/>
              <w:right w:val="single" w:color="000000" w:sz="8" w:space="0"/>
            </w:tcBorders>
            <w:shd w:val="clear" w:color="auto" w:fill="FFFFFF"/>
            <w:vAlign w:val="center"/>
          </w:tcPr>
          <w:p w14:paraId="1A16C3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r w14:paraId="78DE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0D020B5D">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63D127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高血压患者规范管理率（%）</w:t>
            </w:r>
          </w:p>
        </w:tc>
        <w:tc>
          <w:tcPr>
            <w:tcW w:w="999" w:type="pct"/>
            <w:tcBorders>
              <w:top w:val="nil"/>
              <w:left w:val="nil"/>
              <w:bottom w:val="single" w:color="000000" w:sz="8" w:space="0"/>
              <w:right w:val="single" w:color="000000" w:sz="8" w:space="0"/>
            </w:tcBorders>
            <w:shd w:val="clear" w:color="auto" w:fill="FFFFFF"/>
            <w:vAlign w:val="center"/>
          </w:tcPr>
          <w:p w14:paraId="5F259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96.39</w:t>
            </w:r>
          </w:p>
        </w:tc>
        <w:tc>
          <w:tcPr>
            <w:tcW w:w="999" w:type="pct"/>
            <w:tcBorders>
              <w:top w:val="nil"/>
              <w:left w:val="nil"/>
              <w:bottom w:val="single" w:color="000000" w:sz="8" w:space="0"/>
              <w:right w:val="single" w:color="000000" w:sz="8" w:space="0"/>
            </w:tcBorders>
            <w:shd w:val="clear" w:color="auto" w:fill="FFFFFF"/>
            <w:vAlign w:val="center"/>
          </w:tcPr>
          <w:p w14:paraId="2FBCC0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≥90</w:t>
            </w:r>
          </w:p>
        </w:tc>
        <w:tc>
          <w:tcPr>
            <w:tcW w:w="1000" w:type="pct"/>
            <w:tcBorders>
              <w:top w:val="nil"/>
              <w:left w:val="nil"/>
              <w:bottom w:val="single" w:color="000000" w:sz="8" w:space="0"/>
              <w:right w:val="single" w:color="000000" w:sz="8" w:space="0"/>
            </w:tcBorders>
            <w:shd w:val="clear" w:color="auto" w:fill="FFFFFF"/>
            <w:vAlign w:val="center"/>
          </w:tcPr>
          <w:p w14:paraId="57A49E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0967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418BCC7B">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29FF9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65 岁及以上老年人规范化健康管理服务率（%）</w:t>
            </w:r>
          </w:p>
        </w:tc>
        <w:tc>
          <w:tcPr>
            <w:tcW w:w="999" w:type="pct"/>
            <w:tcBorders>
              <w:top w:val="nil"/>
              <w:left w:val="nil"/>
              <w:bottom w:val="single" w:color="000000" w:sz="8" w:space="0"/>
              <w:right w:val="single" w:color="000000" w:sz="8" w:space="0"/>
            </w:tcBorders>
            <w:shd w:val="clear" w:color="auto" w:fill="FFFFFF"/>
            <w:vAlign w:val="center"/>
          </w:tcPr>
          <w:p w14:paraId="1FB5EE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w:t>
            </w:r>
          </w:p>
        </w:tc>
        <w:tc>
          <w:tcPr>
            <w:tcW w:w="999" w:type="pct"/>
            <w:tcBorders>
              <w:top w:val="nil"/>
              <w:left w:val="nil"/>
              <w:bottom w:val="single" w:color="000000" w:sz="8" w:space="0"/>
              <w:right w:val="single" w:color="000000" w:sz="8" w:space="0"/>
            </w:tcBorders>
            <w:shd w:val="clear" w:color="auto" w:fill="FFFFFF"/>
            <w:vAlign w:val="center"/>
          </w:tcPr>
          <w:p w14:paraId="45E788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&gt;85</w:t>
            </w:r>
          </w:p>
        </w:tc>
        <w:tc>
          <w:tcPr>
            <w:tcW w:w="1000" w:type="pct"/>
            <w:tcBorders>
              <w:top w:val="nil"/>
              <w:left w:val="nil"/>
              <w:bottom w:val="single" w:color="000000" w:sz="8" w:space="0"/>
              <w:right w:val="single" w:color="000000" w:sz="8" w:space="0"/>
            </w:tcBorders>
            <w:shd w:val="clear" w:color="auto" w:fill="FFFFFF"/>
            <w:vAlign w:val="center"/>
          </w:tcPr>
          <w:p w14:paraId="5864F2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2449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4D433B0F">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77DC97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乡镇卫生院藏医药服务覆盖率（%）</w:t>
            </w:r>
          </w:p>
        </w:tc>
        <w:tc>
          <w:tcPr>
            <w:tcW w:w="999" w:type="pct"/>
            <w:tcBorders>
              <w:top w:val="nil"/>
              <w:left w:val="nil"/>
              <w:bottom w:val="single" w:color="000000" w:sz="8" w:space="0"/>
              <w:right w:val="single" w:color="000000" w:sz="8" w:space="0"/>
            </w:tcBorders>
            <w:shd w:val="clear" w:color="auto" w:fill="FFFFFF"/>
            <w:vAlign w:val="center"/>
          </w:tcPr>
          <w:p w14:paraId="5ACE51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85.5</w:t>
            </w:r>
          </w:p>
        </w:tc>
        <w:tc>
          <w:tcPr>
            <w:tcW w:w="999" w:type="pct"/>
            <w:tcBorders>
              <w:top w:val="nil"/>
              <w:left w:val="nil"/>
              <w:bottom w:val="single" w:color="000000" w:sz="8" w:space="0"/>
              <w:right w:val="single" w:color="000000" w:sz="8" w:space="0"/>
            </w:tcBorders>
            <w:shd w:val="clear" w:color="auto" w:fill="FFFFFF"/>
            <w:vAlign w:val="center"/>
          </w:tcPr>
          <w:p w14:paraId="52047D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≥90</w:t>
            </w:r>
          </w:p>
        </w:tc>
        <w:tc>
          <w:tcPr>
            <w:tcW w:w="1000" w:type="pct"/>
            <w:tcBorders>
              <w:top w:val="nil"/>
              <w:left w:val="nil"/>
              <w:bottom w:val="single" w:color="000000" w:sz="8" w:space="0"/>
              <w:right w:val="single" w:color="000000" w:sz="8" w:space="0"/>
            </w:tcBorders>
            <w:shd w:val="clear" w:color="auto" w:fill="FFFFFF"/>
            <w:vAlign w:val="center"/>
          </w:tcPr>
          <w:p w14:paraId="537D9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1465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999" w:type="pct"/>
            <w:vMerge w:val="restart"/>
            <w:tcBorders>
              <w:top w:val="nil"/>
              <w:left w:val="single" w:color="000000" w:sz="8" w:space="0"/>
              <w:bottom w:val="single" w:color="000000" w:sz="8" w:space="0"/>
              <w:right w:val="single" w:color="000000" w:sz="8" w:space="0"/>
            </w:tcBorders>
            <w:shd w:val="clear" w:color="auto" w:fill="FFFFFF"/>
            <w:vAlign w:val="center"/>
          </w:tcPr>
          <w:p w14:paraId="2D4D39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健康保障</w:t>
            </w:r>
          </w:p>
        </w:tc>
        <w:tc>
          <w:tcPr>
            <w:tcW w:w="999" w:type="pct"/>
            <w:tcBorders>
              <w:top w:val="nil"/>
              <w:left w:val="nil"/>
              <w:bottom w:val="single" w:color="000000" w:sz="8" w:space="0"/>
              <w:right w:val="single" w:color="000000" w:sz="8" w:space="0"/>
            </w:tcBorders>
            <w:shd w:val="clear" w:color="auto" w:fill="FFFFFF"/>
            <w:vAlign w:val="center"/>
          </w:tcPr>
          <w:p w14:paraId="710B9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个人卫生支出占卫生总费用的比重（%）</w:t>
            </w:r>
          </w:p>
        </w:tc>
        <w:tc>
          <w:tcPr>
            <w:tcW w:w="999" w:type="pct"/>
            <w:tcBorders>
              <w:top w:val="nil"/>
              <w:left w:val="nil"/>
              <w:bottom w:val="single" w:color="000000" w:sz="8" w:space="0"/>
              <w:right w:val="single" w:color="000000" w:sz="8" w:space="0"/>
            </w:tcBorders>
            <w:shd w:val="clear" w:color="auto" w:fill="FFFFFF"/>
            <w:vAlign w:val="center"/>
          </w:tcPr>
          <w:p w14:paraId="718325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9.75</w:t>
            </w:r>
          </w:p>
        </w:tc>
        <w:tc>
          <w:tcPr>
            <w:tcW w:w="999" w:type="pct"/>
            <w:tcBorders>
              <w:top w:val="nil"/>
              <w:left w:val="nil"/>
              <w:bottom w:val="single" w:color="000000" w:sz="8" w:space="0"/>
              <w:right w:val="single" w:color="000000" w:sz="8" w:space="0"/>
            </w:tcBorders>
            <w:shd w:val="clear" w:color="auto" w:fill="FFFFFF"/>
            <w:vAlign w:val="center"/>
          </w:tcPr>
          <w:p w14:paraId="20F34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持续下降</w:t>
            </w:r>
          </w:p>
        </w:tc>
        <w:tc>
          <w:tcPr>
            <w:tcW w:w="1000" w:type="pct"/>
            <w:tcBorders>
              <w:top w:val="nil"/>
              <w:left w:val="nil"/>
              <w:bottom w:val="single" w:color="000000" w:sz="8" w:space="0"/>
              <w:right w:val="single" w:color="000000" w:sz="8" w:space="0"/>
            </w:tcBorders>
            <w:shd w:val="clear" w:color="auto" w:fill="FFFFFF"/>
            <w:vAlign w:val="center"/>
          </w:tcPr>
          <w:p w14:paraId="63A9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r w14:paraId="6F48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08D9EAF2">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177F5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年人均基本公共卫生服务经费（元）</w:t>
            </w:r>
          </w:p>
        </w:tc>
        <w:tc>
          <w:tcPr>
            <w:tcW w:w="999" w:type="pct"/>
            <w:tcBorders>
              <w:top w:val="nil"/>
              <w:left w:val="nil"/>
              <w:bottom w:val="single" w:color="000000" w:sz="8" w:space="0"/>
              <w:right w:val="single" w:color="000000" w:sz="8" w:space="0"/>
            </w:tcBorders>
            <w:shd w:val="clear" w:color="auto" w:fill="FFFFFF"/>
            <w:vAlign w:val="center"/>
          </w:tcPr>
          <w:p w14:paraId="668216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120</w:t>
            </w:r>
          </w:p>
        </w:tc>
        <w:tc>
          <w:tcPr>
            <w:tcW w:w="999" w:type="pct"/>
            <w:tcBorders>
              <w:top w:val="nil"/>
              <w:left w:val="nil"/>
              <w:bottom w:val="single" w:color="000000" w:sz="8" w:space="0"/>
              <w:right w:val="single" w:color="000000" w:sz="8" w:space="0"/>
            </w:tcBorders>
            <w:shd w:val="clear" w:color="auto" w:fill="FFFFFF"/>
            <w:vAlign w:val="center"/>
          </w:tcPr>
          <w:p w14:paraId="4855B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145</w:t>
            </w:r>
          </w:p>
        </w:tc>
        <w:tc>
          <w:tcPr>
            <w:tcW w:w="1000" w:type="pct"/>
            <w:tcBorders>
              <w:top w:val="nil"/>
              <w:left w:val="nil"/>
              <w:bottom w:val="single" w:color="000000" w:sz="8" w:space="0"/>
              <w:right w:val="single" w:color="000000" w:sz="8" w:space="0"/>
            </w:tcBorders>
            <w:shd w:val="clear" w:color="auto" w:fill="FFFFFF"/>
            <w:vAlign w:val="center"/>
          </w:tcPr>
          <w:p w14:paraId="24C774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366F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480B1C58">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448616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城乡居民基本医疗保险政策范围内住院费用基金支付比例（%）</w:t>
            </w:r>
          </w:p>
        </w:tc>
        <w:tc>
          <w:tcPr>
            <w:tcW w:w="999" w:type="pct"/>
            <w:tcBorders>
              <w:top w:val="nil"/>
              <w:left w:val="nil"/>
              <w:bottom w:val="single" w:color="000000" w:sz="8" w:space="0"/>
              <w:right w:val="single" w:color="000000" w:sz="8" w:space="0"/>
            </w:tcBorders>
            <w:shd w:val="clear" w:color="auto" w:fill="FFFFFF"/>
            <w:vAlign w:val="center"/>
          </w:tcPr>
          <w:p w14:paraId="68D70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66.32</w:t>
            </w:r>
          </w:p>
        </w:tc>
        <w:tc>
          <w:tcPr>
            <w:tcW w:w="999" w:type="pct"/>
            <w:tcBorders>
              <w:top w:val="nil"/>
              <w:left w:val="nil"/>
              <w:bottom w:val="single" w:color="000000" w:sz="8" w:space="0"/>
              <w:right w:val="single" w:color="000000" w:sz="8" w:space="0"/>
            </w:tcBorders>
            <w:shd w:val="clear" w:color="auto" w:fill="FFFFFF"/>
            <w:vAlign w:val="center"/>
          </w:tcPr>
          <w:p w14:paraId="3AC79E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保持稳定</w:t>
            </w:r>
          </w:p>
        </w:tc>
        <w:tc>
          <w:tcPr>
            <w:tcW w:w="1000" w:type="pct"/>
            <w:tcBorders>
              <w:top w:val="nil"/>
              <w:left w:val="nil"/>
              <w:bottom w:val="single" w:color="000000" w:sz="8" w:space="0"/>
              <w:right w:val="single" w:color="000000" w:sz="8" w:space="0"/>
            </w:tcBorders>
            <w:shd w:val="clear" w:color="auto" w:fill="FFFFFF"/>
            <w:vAlign w:val="center"/>
          </w:tcPr>
          <w:p w14:paraId="3C1E86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7F8B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53BA5450">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51F7D5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城镇职工基本医疗保险政策范围内住院费用基金支付比例（%）</w:t>
            </w:r>
          </w:p>
        </w:tc>
        <w:tc>
          <w:tcPr>
            <w:tcW w:w="999" w:type="pct"/>
            <w:tcBorders>
              <w:top w:val="nil"/>
              <w:left w:val="nil"/>
              <w:bottom w:val="single" w:color="000000" w:sz="8" w:space="0"/>
              <w:right w:val="single" w:color="000000" w:sz="8" w:space="0"/>
            </w:tcBorders>
            <w:shd w:val="clear" w:color="auto" w:fill="FFFFFF"/>
            <w:vAlign w:val="center"/>
          </w:tcPr>
          <w:p w14:paraId="51FC62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74.53</w:t>
            </w:r>
          </w:p>
        </w:tc>
        <w:tc>
          <w:tcPr>
            <w:tcW w:w="999" w:type="pct"/>
            <w:tcBorders>
              <w:top w:val="nil"/>
              <w:left w:val="nil"/>
              <w:bottom w:val="single" w:color="000000" w:sz="8" w:space="0"/>
              <w:right w:val="single" w:color="000000" w:sz="8" w:space="0"/>
            </w:tcBorders>
            <w:shd w:val="clear" w:color="auto" w:fill="FFFFFF"/>
            <w:vAlign w:val="center"/>
          </w:tcPr>
          <w:p w14:paraId="64FAC5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保持稳定</w:t>
            </w:r>
          </w:p>
        </w:tc>
        <w:tc>
          <w:tcPr>
            <w:tcW w:w="1000" w:type="pct"/>
            <w:tcBorders>
              <w:top w:val="nil"/>
              <w:left w:val="nil"/>
              <w:bottom w:val="single" w:color="000000" w:sz="8" w:space="0"/>
              <w:right w:val="single" w:color="000000" w:sz="8" w:space="0"/>
            </w:tcBorders>
            <w:shd w:val="clear" w:color="auto" w:fill="FFFFFF"/>
            <w:vAlign w:val="center"/>
          </w:tcPr>
          <w:p w14:paraId="2025E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预期性</w:t>
            </w:r>
          </w:p>
        </w:tc>
      </w:tr>
      <w:tr w14:paraId="45A8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999" w:type="pct"/>
            <w:vMerge w:val="restart"/>
            <w:tcBorders>
              <w:top w:val="nil"/>
              <w:left w:val="single" w:color="000000" w:sz="8" w:space="0"/>
              <w:bottom w:val="single" w:color="000000" w:sz="8" w:space="0"/>
              <w:right w:val="single" w:color="000000" w:sz="8" w:space="0"/>
            </w:tcBorders>
            <w:shd w:val="clear" w:color="auto" w:fill="FFFFFF"/>
            <w:vAlign w:val="center"/>
          </w:tcPr>
          <w:p w14:paraId="66A162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健康环境</w:t>
            </w:r>
          </w:p>
        </w:tc>
        <w:tc>
          <w:tcPr>
            <w:tcW w:w="999" w:type="pct"/>
            <w:tcBorders>
              <w:top w:val="nil"/>
              <w:left w:val="nil"/>
              <w:bottom w:val="single" w:color="000000" w:sz="8" w:space="0"/>
              <w:right w:val="single" w:color="000000" w:sz="8" w:space="0"/>
            </w:tcBorders>
            <w:shd w:val="clear" w:color="auto" w:fill="FFFFFF"/>
            <w:vAlign w:val="center"/>
          </w:tcPr>
          <w:p w14:paraId="305FF4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县级及以上城市空气质量优良天数比率（%）</w:t>
            </w:r>
          </w:p>
        </w:tc>
        <w:tc>
          <w:tcPr>
            <w:tcW w:w="999" w:type="pct"/>
            <w:tcBorders>
              <w:top w:val="nil"/>
              <w:left w:val="nil"/>
              <w:bottom w:val="single" w:color="000000" w:sz="8" w:space="0"/>
              <w:right w:val="single" w:color="000000" w:sz="8" w:space="0"/>
            </w:tcBorders>
            <w:shd w:val="clear" w:color="auto" w:fill="FFFFFF"/>
            <w:vAlign w:val="center"/>
          </w:tcPr>
          <w:p w14:paraId="5D4485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100</w:t>
            </w:r>
          </w:p>
        </w:tc>
        <w:tc>
          <w:tcPr>
            <w:tcW w:w="999" w:type="pct"/>
            <w:tcBorders>
              <w:top w:val="nil"/>
              <w:left w:val="nil"/>
              <w:bottom w:val="single" w:color="000000" w:sz="8" w:space="0"/>
              <w:right w:val="single" w:color="000000" w:sz="8" w:space="0"/>
            </w:tcBorders>
            <w:shd w:val="clear" w:color="auto" w:fill="FFFFFF"/>
            <w:vAlign w:val="center"/>
          </w:tcPr>
          <w:p w14:paraId="56A12E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持续改善</w:t>
            </w:r>
          </w:p>
        </w:tc>
        <w:tc>
          <w:tcPr>
            <w:tcW w:w="1000" w:type="pct"/>
            <w:tcBorders>
              <w:top w:val="nil"/>
              <w:left w:val="nil"/>
              <w:bottom w:val="single" w:color="000000" w:sz="8" w:space="0"/>
              <w:right w:val="single" w:color="000000" w:sz="8" w:space="0"/>
            </w:tcBorders>
            <w:shd w:val="clear" w:color="auto" w:fill="FFFFFF"/>
            <w:vAlign w:val="center"/>
          </w:tcPr>
          <w:p w14:paraId="16FD52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r w14:paraId="7FEC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999" w:type="pct"/>
            <w:vMerge w:val="continue"/>
            <w:tcBorders>
              <w:top w:val="nil"/>
              <w:left w:val="single" w:color="000000" w:sz="8" w:space="0"/>
              <w:bottom w:val="single" w:color="000000" w:sz="8" w:space="0"/>
              <w:right w:val="single" w:color="000000" w:sz="8" w:space="0"/>
            </w:tcBorders>
            <w:shd w:val="clear" w:color="auto" w:fill="FFFFFF"/>
            <w:vAlign w:val="center"/>
          </w:tcPr>
          <w:p w14:paraId="0A8D7DCD">
            <w:pPr>
              <w:jc w:val="center"/>
              <w:rPr>
                <w:rFonts w:hint="eastAsia" w:ascii="方正仿宋_GB2312" w:hAnsi="方正仿宋_GB2312" w:eastAsia="方正仿宋_GB2312" w:cs="方正仿宋_GB2312"/>
                <w:i w:val="0"/>
                <w:iCs w:val="0"/>
                <w:color w:val="000000"/>
                <w:sz w:val="21"/>
                <w:szCs w:val="21"/>
                <w:u w:val="none"/>
              </w:rPr>
            </w:pPr>
          </w:p>
        </w:tc>
        <w:tc>
          <w:tcPr>
            <w:tcW w:w="999" w:type="pct"/>
            <w:tcBorders>
              <w:top w:val="nil"/>
              <w:left w:val="nil"/>
              <w:bottom w:val="single" w:color="000000" w:sz="8" w:space="0"/>
              <w:right w:val="single" w:color="000000" w:sz="8" w:space="0"/>
            </w:tcBorders>
            <w:shd w:val="clear" w:color="auto" w:fill="FFFFFF"/>
            <w:vAlign w:val="center"/>
          </w:tcPr>
          <w:p w14:paraId="3B0B32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地表水达到或好于Ⅲ类水体比例（%）</w:t>
            </w:r>
          </w:p>
        </w:tc>
        <w:tc>
          <w:tcPr>
            <w:tcW w:w="999" w:type="pct"/>
            <w:tcBorders>
              <w:top w:val="nil"/>
              <w:left w:val="nil"/>
              <w:bottom w:val="single" w:color="000000" w:sz="8" w:space="0"/>
              <w:right w:val="single" w:color="000000" w:sz="8" w:space="0"/>
            </w:tcBorders>
            <w:shd w:val="clear" w:color="auto" w:fill="FFFFFF"/>
            <w:vAlign w:val="center"/>
          </w:tcPr>
          <w:p w14:paraId="0E8FE2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100</w:t>
            </w:r>
          </w:p>
        </w:tc>
        <w:tc>
          <w:tcPr>
            <w:tcW w:w="999" w:type="pct"/>
            <w:tcBorders>
              <w:top w:val="nil"/>
              <w:left w:val="nil"/>
              <w:bottom w:val="single" w:color="000000" w:sz="8" w:space="0"/>
              <w:right w:val="single" w:color="000000" w:sz="8" w:space="0"/>
            </w:tcBorders>
            <w:shd w:val="clear" w:color="auto" w:fill="FFFFFF"/>
            <w:vAlign w:val="center"/>
          </w:tcPr>
          <w:p w14:paraId="3B2AD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持续改善</w:t>
            </w:r>
          </w:p>
        </w:tc>
        <w:tc>
          <w:tcPr>
            <w:tcW w:w="1000" w:type="pct"/>
            <w:tcBorders>
              <w:top w:val="nil"/>
              <w:left w:val="nil"/>
              <w:bottom w:val="single" w:color="000000" w:sz="8" w:space="0"/>
              <w:right w:val="single" w:color="000000" w:sz="8" w:space="0"/>
            </w:tcBorders>
            <w:shd w:val="clear" w:color="auto" w:fill="FFFFFF"/>
            <w:vAlign w:val="center"/>
          </w:tcPr>
          <w:p w14:paraId="3C8D32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约束性</w:t>
            </w:r>
          </w:p>
        </w:tc>
      </w:tr>
    </w:tbl>
    <w:p w14:paraId="59FE83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jc w:val="both"/>
        <w:textAlignment w:val="baseline"/>
        <w:rPr>
          <w:rFonts w:hint="eastAsia" w:ascii="宋体" w:hAnsi="宋体" w:eastAsia="宋体" w:cs="宋体"/>
          <w:sz w:val="24"/>
          <w:szCs w:val="24"/>
        </w:rPr>
      </w:pPr>
    </w:p>
    <w:p w14:paraId="77E60CC4">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default" w:ascii="黑体" w:hAnsi="黑体" w:eastAsia="黑体" w:cs="黑体"/>
          <w:b w:val="0"/>
          <w:bCs/>
          <w:sz w:val="32"/>
          <w:szCs w:val="32"/>
          <w:lang w:val="en-US" w:eastAsia="zh-CN"/>
        </w:rPr>
      </w:pPr>
      <w:bookmarkStart w:id="8" w:name="_Toc1713"/>
      <w:r>
        <w:rPr>
          <w:rFonts w:hint="eastAsia" w:ascii="黑体" w:hAnsi="黑体" w:eastAsia="黑体" w:cs="黑体"/>
          <w:b w:val="0"/>
          <w:bCs/>
          <w:sz w:val="32"/>
          <w:szCs w:val="32"/>
          <w:lang w:val="en-US" w:eastAsia="zh-CN"/>
        </w:rPr>
        <w:t>主要任务</w:t>
      </w:r>
      <w:bookmarkEnd w:id="8"/>
    </w:p>
    <w:p w14:paraId="5F170C1B">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9" w:name="_Toc9538"/>
      <w:r>
        <w:rPr>
          <w:rFonts w:hint="default" w:ascii="方正楷体_GB2312" w:hAnsi="方正楷体_GB2312" w:eastAsia="方正楷体_GB2312" w:cs="方正楷体_GB2312"/>
          <w:b/>
          <w:bCs w:val="0"/>
          <w:sz w:val="32"/>
          <w:szCs w:val="32"/>
          <w:lang w:val="en-US" w:eastAsia="zh-CN"/>
        </w:rPr>
        <w:t>构建强大公共卫生体系，筑牢健康安全屏障</w:t>
      </w:r>
      <w:bookmarkEnd w:id="9"/>
    </w:p>
    <w:p w14:paraId="5323B2FE">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default" w:ascii="方正仿宋_GB2312" w:hAnsi="方正仿宋_GB2312" w:eastAsia="方正仿宋_GB2312" w:cs="方正仿宋_GB2312"/>
          <w:snapToGrid w:val="0"/>
          <w:color w:val="000000"/>
          <w:kern w:val="0"/>
          <w:sz w:val="32"/>
          <w:szCs w:val="32"/>
          <w:lang w:val="en-US" w:eastAsia="zh-CN" w:bidi="ar-SA"/>
        </w:rPr>
      </w:pPr>
      <w:r>
        <w:rPr>
          <w:rFonts w:hint="default" w:ascii="方正仿宋_GB2312" w:hAnsi="方正仿宋_GB2312" w:eastAsia="方正仿宋_GB2312" w:cs="方正仿宋_GB2312"/>
          <w:b/>
          <w:bCs/>
          <w:snapToGrid w:val="0"/>
          <w:color w:val="000000"/>
          <w:kern w:val="0"/>
          <w:sz w:val="32"/>
          <w:szCs w:val="32"/>
          <w:lang w:val="en-US" w:eastAsia="zh-CN" w:bidi="ar-SA"/>
        </w:rPr>
        <w:t>改革完善疾病预防控制体系。</w:t>
      </w:r>
      <w:r>
        <w:rPr>
          <w:rFonts w:hint="default" w:ascii="方正仿宋_GB2312" w:hAnsi="方正仿宋_GB2312" w:eastAsia="方正仿宋_GB2312" w:cs="方正仿宋_GB2312"/>
          <w:snapToGrid w:val="0"/>
          <w:color w:val="000000"/>
          <w:kern w:val="0"/>
          <w:sz w:val="32"/>
          <w:szCs w:val="32"/>
          <w:lang w:val="en-US" w:eastAsia="zh-CN" w:bidi="ar-SA"/>
        </w:rPr>
        <w:t>推进市、县两级疾病预防控制中心标准化建设，优化机构设置和职能配置，强化监测预警、风险评估、流行病学调查、检验检测、应急处置、健康教育等核心职能。加强实验室检测网络建设，提升病原微生物检测和未知病原鉴定能力。完善以疾控机构为骨干、医疗机构为依托、基层医疗卫生机构为网底的疾病防控协同工作机制，健全疾控监督员制度，深化医防融合。加强疾控人才队伍建设，健全准入、使用、待遇保障、考核评价和激励机制，提升疾控队伍专业能力。</w:t>
      </w:r>
    </w:p>
    <w:p w14:paraId="70E1648C">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default" w:ascii="方正仿宋_GB2312" w:hAnsi="方正仿宋_GB2312" w:eastAsia="方正仿宋_GB2312" w:cs="方正仿宋_GB2312"/>
          <w:snapToGrid w:val="0"/>
          <w:color w:val="000000"/>
          <w:kern w:val="0"/>
          <w:sz w:val="32"/>
          <w:szCs w:val="32"/>
          <w:lang w:val="en-US" w:eastAsia="zh-CN" w:bidi="ar-SA"/>
        </w:rPr>
      </w:pPr>
      <w:r>
        <w:rPr>
          <w:rFonts w:hint="default" w:ascii="方正仿宋_GB2312" w:hAnsi="方正仿宋_GB2312" w:eastAsia="方正仿宋_GB2312" w:cs="方正仿宋_GB2312"/>
          <w:b/>
          <w:bCs/>
          <w:snapToGrid w:val="0"/>
          <w:color w:val="000000"/>
          <w:kern w:val="0"/>
          <w:sz w:val="32"/>
          <w:szCs w:val="32"/>
          <w:lang w:val="en-US" w:eastAsia="zh-CN" w:bidi="ar-SA"/>
        </w:rPr>
        <w:t>健全监测预警和应急响应机制。</w:t>
      </w:r>
      <w:r>
        <w:rPr>
          <w:rFonts w:hint="default" w:ascii="方正仿宋_GB2312" w:hAnsi="方正仿宋_GB2312" w:eastAsia="方正仿宋_GB2312" w:cs="方正仿宋_GB2312"/>
          <w:snapToGrid w:val="0"/>
          <w:color w:val="000000"/>
          <w:kern w:val="0"/>
          <w:sz w:val="32"/>
          <w:szCs w:val="32"/>
          <w:lang w:val="en-US" w:eastAsia="zh-CN" w:bidi="ar-SA"/>
        </w:rPr>
        <w:t>完善覆盖传染病、突发公共卫生事件、健康危害因素的多渠道监测预警体系，强化医疗机构发热门诊、哨点诊室监测哨点作用。运用大数据、人工智能等技术，提升公共卫生风险智能感知、精准预警和快速响应能力。健全突发公共卫生事件应急预案体系，定期开展实战化演练。完善多部门联防联控、军地协作、区域联动的应急响应机制，健全信息报告和发布制度，确保突发公共卫生事件及时、规范、高效处置。</w:t>
      </w:r>
    </w:p>
    <w:p w14:paraId="67B7F4C5">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default" w:ascii="方正仿宋_GB2312" w:hAnsi="方正仿宋_GB2312" w:eastAsia="方正仿宋_GB2312" w:cs="方正仿宋_GB2312"/>
          <w:snapToGrid w:val="0"/>
          <w:color w:val="000000"/>
          <w:kern w:val="0"/>
          <w:sz w:val="32"/>
          <w:szCs w:val="32"/>
          <w:lang w:val="en-US" w:eastAsia="zh-CN" w:bidi="ar-SA"/>
        </w:rPr>
      </w:pPr>
      <w:r>
        <w:rPr>
          <w:rFonts w:hint="default" w:ascii="方正仿宋_GB2312" w:hAnsi="方正仿宋_GB2312" w:eastAsia="方正仿宋_GB2312" w:cs="方正仿宋_GB2312"/>
          <w:b/>
          <w:bCs/>
          <w:snapToGrid w:val="0"/>
          <w:color w:val="000000"/>
          <w:kern w:val="0"/>
          <w:sz w:val="32"/>
          <w:szCs w:val="32"/>
          <w:lang w:val="en-US" w:eastAsia="zh-CN" w:bidi="ar-SA"/>
        </w:rPr>
        <w:t>提升重大疫情救治和应急保障能力。</w:t>
      </w:r>
      <w:r>
        <w:rPr>
          <w:rFonts w:hint="default" w:ascii="方正仿宋_GB2312" w:hAnsi="方正仿宋_GB2312" w:eastAsia="方正仿宋_GB2312" w:cs="方正仿宋_GB2312"/>
          <w:snapToGrid w:val="0"/>
          <w:color w:val="000000"/>
          <w:kern w:val="0"/>
          <w:sz w:val="32"/>
          <w:szCs w:val="32"/>
          <w:lang w:val="en-US" w:eastAsia="zh-CN" w:bidi="ar-SA"/>
        </w:rPr>
        <w:t>加强市、县两级传染病救治网络建设，推进市级定点医院传染病</w:t>
      </w:r>
      <w:r>
        <w:rPr>
          <w:rFonts w:hint="eastAsia" w:ascii="方正仿宋_GB2312" w:hAnsi="方正仿宋_GB2312" w:eastAsia="方正仿宋_GB2312" w:cs="方正仿宋_GB2312"/>
          <w:snapToGrid w:val="0"/>
          <w:color w:val="000000"/>
          <w:kern w:val="0"/>
          <w:sz w:val="32"/>
          <w:szCs w:val="32"/>
          <w:lang w:val="en-US" w:eastAsia="zh-CN" w:bidi="ar-SA"/>
        </w:rPr>
        <w:t>病</w:t>
      </w:r>
      <w:r>
        <w:rPr>
          <w:rFonts w:hint="default" w:ascii="方正仿宋_GB2312" w:hAnsi="方正仿宋_GB2312" w:eastAsia="方正仿宋_GB2312" w:cs="方正仿宋_GB2312"/>
          <w:snapToGrid w:val="0"/>
          <w:color w:val="000000"/>
          <w:kern w:val="0"/>
          <w:sz w:val="32"/>
          <w:szCs w:val="32"/>
          <w:lang w:val="en-US" w:eastAsia="zh-CN" w:bidi="ar-SA"/>
        </w:rPr>
        <w:t>区升级改造，提升重症救治能力；规范县级医院感染性疾病科和发热门诊建设，提高基层筛查、识别和初步救治能力。完善分级、分层、分流的重大疫情医疗救治机制，建强市级医疗应急队伍和县级背囊化应急小分队。健全应急医疗物资分级储备、统一调配、滚动轮换机制，完善血液应急保障体系，全面提升突发公共卫生事件医疗救治和应急保障能力。</w:t>
      </w:r>
    </w:p>
    <w:p w14:paraId="0E91D4BE">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default" w:ascii="方正仿宋_GB2312" w:hAnsi="方正仿宋_GB2312" w:eastAsia="方正仿宋_GB2312" w:cs="方正仿宋_GB2312"/>
          <w:snapToGrid w:val="0"/>
          <w:color w:val="000000"/>
          <w:kern w:val="0"/>
          <w:sz w:val="32"/>
          <w:szCs w:val="32"/>
          <w:lang w:val="en-US" w:eastAsia="zh-CN" w:bidi="ar-SA"/>
        </w:rPr>
      </w:pPr>
      <w:r>
        <w:rPr>
          <w:rFonts w:hint="default" w:ascii="方正仿宋_GB2312" w:hAnsi="方正仿宋_GB2312" w:eastAsia="方正仿宋_GB2312" w:cs="方正仿宋_GB2312"/>
          <w:b/>
          <w:bCs/>
          <w:snapToGrid w:val="0"/>
          <w:color w:val="000000"/>
          <w:kern w:val="0"/>
          <w:sz w:val="32"/>
          <w:szCs w:val="32"/>
          <w:lang w:val="en-US" w:eastAsia="zh-CN" w:bidi="ar-SA"/>
        </w:rPr>
        <w:t>深入开展爱国卫生运动和健康西藏行动。</w:t>
      </w:r>
      <w:r>
        <w:rPr>
          <w:rFonts w:hint="default" w:ascii="方正仿宋_GB2312" w:hAnsi="方正仿宋_GB2312" w:eastAsia="方正仿宋_GB2312" w:cs="方正仿宋_GB2312"/>
          <w:b w:val="0"/>
          <w:bCs w:val="0"/>
          <w:snapToGrid w:val="0"/>
          <w:color w:val="000000"/>
          <w:kern w:val="0"/>
          <w:sz w:val="32"/>
          <w:szCs w:val="32"/>
          <w:lang w:val="en-US" w:eastAsia="zh-CN" w:bidi="ar-SA"/>
        </w:rPr>
        <w:t>充分发挥爱国卫生运动组织优势、群众动员优势和文化优势，推动爱国卫生运动与传染病防控、慢性病防治、社会心理健康干预等紧密结合，倡导出门佩戴口罩、分餐公筷等文明健康、绿色环保生活方式。深入实施健康西藏专项行动，强化病媒生物防制，努力控制危害人民健康的重大疾病及主要健康影响因素。推进健康城镇创建，积极开展控烟限酒行动，加大控烟宣传力度，加强烟草流行监测。全面落实医疗卫生机构、中小学校禁烟，持续巩固无烟党政机关建设成效，广泛宣传吸烟、酗酒危害，提高公众危害认知。探索健康积分和激励机制，提升群众参与健康生活方式积极性，形成政府引导、全民参与、共建共享格局</w:t>
      </w:r>
      <w:r>
        <w:rPr>
          <w:rFonts w:hint="default" w:ascii="方正仿宋_GB2312" w:hAnsi="方正仿宋_GB2312" w:eastAsia="方正仿宋_GB2312" w:cs="方正仿宋_GB2312"/>
          <w:snapToGrid w:val="0"/>
          <w:color w:val="000000"/>
          <w:kern w:val="0"/>
          <w:sz w:val="32"/>
          <w:szCs w:val="32"/>
          <w:lang w:val="en-US"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0BD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7A9915EF">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专栏</w:t>
            </w:r>
            <w:r>
              <w:rPr>
                <w:rFonts w:hint="eastAsia" w:ascii="方正仿宋_GB2312" w:hAnsi="方正仿宋_GB2312" w:eastAsia="方正仿宋_GB2312" w:cs="方正仿宋_GB2312"/>
                <w:b/>
                <w:bCs/>
                <w:color w:val="auto"/>
                <w:sz w:val="28"/>
                <w:szCs w:val="28"/>
                <w:highlight w:val="none"/>
                <w:lang w:val="en-US" w:eastAsia="zh-CN"/>
              </w:rPr>
              <w:t>1</w:t>
            </w:r>
            <w:r>
              <w:rPr>
                <w:rFonts w:hint="eastAsia" w:ascii="方正仿宋_GB2312" w:hAnsi="方正仿宋_GB2312" w:eastAsia="方正仿宋_GB2312" w:cs="方正仿宋_GB2312"/>
                <w:b/>
                <w:bCs/>
                <w:color w:val="auto"/>
                <w:sz w:val="28"/>
                <w:szCs w:val="28"/>
                <w:highlight w:val="none"/>
              </w:rPr>
              <w:t xml:space="preserve"> </w:t>
            </w:r>
            <w:r>
              <w:rPr>
                <w:rFonts w:hint="eastAsia" w:ascii="方正仿宋_GB2312" w:hAnsi="方正仿宋_GB2312" w:eastAsia="方正仿宋_GB2312" w:cs="方正仿宋_GB2312"/>
                <w:b/>
                <w:bCs/>
                <w:color w:val="auto"/>
                <w:sz w:val="28"/>
                <w:szCs w:val="28"/>
                <w:highlight w:val="none"/>
                <w:lang w:eastAsia="zh-CN"/>
              </w:rPr>
              <w:t>：</w:t>
            </w:r>
          </w:p>
        </w:tc>
      </w:tr>
      <w:tr w14:paraId="0AE5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1D5BD3EA">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val="0"/>
                <w:snapToGrid w:val="0"/>
                <w:color w:val="000000"/>
                <w:kern w:val="0"/>
                <w:sz w:val="28"/>
                <w:szCs w:val="28"/>
                <w:lang w:val="en-US" w:eastAsia="zh-CN" w:bidi="ar-SA"/>
              </w:rPr>
              <w:t>公共卫生是全民健康的重要保障，强化公共卫生体系建设是维护群众健康权益的关键举措。昌都市聚焦公共卫生应急处置、疾病防控、特殊健康保障等核心环节，扎实推进三大重点项目。</w:t>
            </w:r>
          </w:p>
          <w:p w14:paraId="0ECB8797">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bCs/>
                <w:snapToGrid w:val="0"/>
                <w:color w:val="000000"/>
                <w:kern w:val="0"/>
                <w:sz w:val="28"/>
                <w:szCs w:val="28"/>
                <w:lang w:val="en-US" w:eastAsia="zh-CN" w:bidi="ar-SA"/>
              </w:rPr>
              <w:t>公共卫生防控和能力提升建设项目：</w:t>
            </w:r>
            <w:r>
              <w:rPr>
                <w:rFonts w:hint="eastAsia" w:ascii="方正仿宋_GB2312" w:hAnsi="方正仿宋_GB2312" w:eastAsia="方正仿宋_GB2312" w:cs="方正仿宋_GB2312"/>
                <w:b w:val="0"/>
                <w:snapToGrid w:val="0"/>
                <w:color w:val="000000"/>
                <w:kern w:val="0"/>
                <w:sz w:val="28"/>
                <w:szCs w:val="28"/>
                <w:lang w:val="en-US" w:eastAsia="zh-CN" w:bidi="ar-SA"/>
              </w:rPr>
              <w:t>覆盖市县两级，通过中央预算内资金与其他资金组合保障。重点强化地市级疾控中心传染病防控能力，推进县级疾控中心基础设施改造与设备升级，完善实验室检测、流行病学调查、应急响应等核心功能，构建 “市 - 县” 联动的公共卫生应急体系。项目建成后，将实现重大传染病快速检测、精准处置，应急响应效率提升 50% 以上，为区域公共卫生安全提供坚实保障。</w:t>
            </w:r>
          </w:p>
          <w:p w14:paraId="1EB6E3D6">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bCs/>
                <w:snapToGrid w:val="0"/>
                <w:color w:val="000000"/>
                <w:kern w:val="0"/>
                <w:sz w:val="28"/>
                <w:szCs w:val="28"/>
                <w:lang w:val="en-US" w:eastAsia="zh-CN" w:bidi="ar-SA"/>
              </w:rPr>
              <w:t>昌都市公共卫生医疗救治中心(传染病医院)工程建设项目：</w:t>
            </w:r>
            <w:r>
              <w:rPr>
                <w:rFonts w:hint="eastAsia" w:ascii="方正仿宋_GB2312" w:hAnsi="方正仿宋_GB2312" w:eastAsia="方正仿宋_GB2312" w:cs="方正仿宋_GB2312"/>
                <w:b w:val="0"/>
                <w:snapToGrid w:val="0"/>
                <w:color w:val="000000"/>
                <w:kern w:val="0"/>
                <w:sz w:val="28"/>
                <w:szCs w:val="28"/>
                <w:lang w:val="en-US" w:eastAsia="zh-CN" w:bidi="ar-SA"/>
              </w:rPr>
              <w:t>选址市级区域，按照传染病医院建设标准，新建 1 所公立公共卫生医疗救治中心（传染病医院）。配备传染病诊疗、检验检测、消毒隔离、重症监护等专业设备，组建涵盖感染科医师、公共卫生医师、重症医护人员的专业团队，可提供传染病诊断治疗、疑似病例筛查、重症患者救治、疫情应急处置等全链条服务。项目投用后，将显著提升昌都市重大传染病集中救治能力和公共卫生应急保障水平，助力构建 “预防 - 诊疗 - 康复” 一体化传染病防控体系。</w:t>
            </w:r>
          </w:p>
          <w:p w14:paraId="3ED403B9">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snapToGrid w:val="0"/>
                <w:color w:val="000000"/>
                <w:kern w:val="0"/>
                <w:sz w:val="28"/>
                <w:szCs w:val="28"/>
                <w:lang w:val="en-US" w:eastAsia="zh-CN" w:bidi="ar-SA"/>
              </w:rPr>
              <w:t>血液安全保障建设项目：</w:t>
            </w:r>
            <w:r>
              <w:rPr>
                <w:rFonts w:hint="eastAsia" w:ascii="方正仿宋_GB2312" w:hAnsi="方正仿宋_GB2312" w:eastAsia="方正仿宋_GB2312" w:cs="方正仿宋_GB2312"/>
                <w:b w:val="0"/>
                <w:bCs w:val="0"/>
                <w:snapToGrid w:val="0"/>
                <w:color w:val="000000"/>
                <w:kern w:val="0"/>
                <w:sz w:val="28"/>
                <w:szCs w:val="28"/>
                <w:lang w:val="en-US" w:eastAsia="zh-CN" w:bidi="ar-SA"/>
              </w:rPr>
              <w:t>提升血液质量安全水平，</w:t>
            </w:r>
            <w:r>
              <w:rPr>
                <w:rFonts w:hint="eastAsia" w:ascii="方正仿宋_GB2312" w:hAnsi="方正仿宋_GB2312" w:eastAsia="方正仿宋_GB2312" w:cs="方正仿宋_GB2312"/>
                <w:b w:val="0"/>
                <w:snapToGrid w:val="0"/>
                <w:color w:val="000000"/>
                <w:kern w:val="0"/>
                <w:sz w:val="28"/>
                <w:szCs w:val="28"/>
                <w:lang w:val="en-US" w:eastAsia="zh-CN" w:bidi="ar-SA"/>
              </w:rPr>
              <w:t>对昌都市中心血站进行能力提升改造，建设献血小屋，提升实验室检测能力，升级血液采集、检测、储存、供应全流程设施设备，完善质量控制体系。新增血液成分制备、冷链运输等功能模块，建立覆盖全市的血液调度网络，确保临床用血及时供应、安全可控。项目完成后，血液安全供应保障率提升至 100%，临床用血不良反应发生率降低至0.5%-3%，全血、成分血发放合格率达100% ，全面保障群众用血安全。</w:t>
            </w:r>
          </w:p>
        </w:tc>
      </w:tr>
    </w:tbl>
    <w:p w14:paraId="1831E3E3">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r>
        <w:rPr>
          <w:rFonts w:hint="default" w:ascii="方正楷体_GB2312" w:hAnsi="方正楷体_GB2312" w:eastAsia="方正楷体_GB2312" w:cs="方正楷体_GB2312"/>
          <w:b/>
          <w:bCs w:val="0"/>
          <w:sz w:val="32"/>
          <w:szCs w:val="32"/>
          <w:lang w:val="en-US" w:eastAsia="zh-CN"/>
        </w:rPr>
        <w:t xml:space="preserve"> </w:t>
      </w:r>
      <w:bookmarkStart w:id="10" w:name="_Toc6544"/>
      <w:r>
        <w:rPr>
          <w:rFonts w:hint="default" w:ascii="方正楷体_GB2312" w:hAnsi="方正楷体_GB2312" w:eastAsia="方正楷体_GB2312" w:cs="方正楷体_GB2312"/>
          <w:b/>
          <w:bCs w:val="0"/>
          <w:sz w:val="32"/>
          <w:szCs w:val="32"/>
          <w:lang w:val="en-US" w:eastAsia="zh-CN"/>
        </w:rPr>
        <w:t>优化医疗服务体系布局，推动优质医疗资源扩容下沉</w:t>
      </w:r>
      <w:bookmarkEnd w:id="10"/>
    </w:p>
    <w:p w14:paraId="1E2131F5">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推动优质医疗资源提质扩容。</w:t>
      </w:r>
      <w:r>
        <w:rPr>
          <w:rFonts w:hint="eastAsia" w:ascii="方正仿宋_GB2312" w:hAnsi="方正仿宋_GB2312" w:eastAsia="方正仿宋_GB2312" w:cs="方正仿宋_GB2312"/>
          <w:snapToGrid w:val="0"/>
          <w:color w:val="000000"/>
          <w:kern w:val="0"/>
          <w:sz w:val="32"/>
          <w:szCs w:val="32"/>
          <w:lang w:val="en-US" w:eastAsia="zh-CN" w:bidi="ar-SA"/>
        </w:rPr>
        <w:t>实施市级医院能力提升工程，重点加强重症、肿瘤、心脑血管、呼吸、儿科、麻醉、感染、精神等薄弱专科建设，打造市级临床重点专科集群。持续深化 “组团式” 医疗援藏工作，深化与援藏省市、区内外高水平医院的协作，推动学科建设、人才培养、技术创新深度融合，持续提升市级医院诊疗能力和区域辐射带动作用。稳步推进国家、自治区级区域医疗中心建设，推动优质医疗资源直达昌都。</w:t>
      </w:r>
    </w:p>
    <w:p w14:paraId="10223C7D">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持续深化紧密型县域医共体建设。</w:t>
      </w:r>
      <w:r>
        <w:rPr>
          <w:rFonts w:hint="eastAsia" w:ascii="方正仿宋_GB2312" w:hAnsi="方正仿宋_GB2312" w:eastAsia="方正仿宋_GB2312" w:cs="方正仿宋_GB2312"/>
          <w:snapToGrid w:val="0"/>
          <w:color w:val="000000"/>
          <w:kern w:val="0"/>
          <w:sz w:val="32"/>
          <w:szCs w:val="32"/>
          <w:lang w:val="en-US" w:eastAsia="zh-CN" w:bidi="ar-SA"/>
        </w:rPr>
        <w:t>全面推进紧密型县域医共体建设，强化人、财、物统一管理，推动医共体内行政管理、人员管理、财务管理、药品管理、业务管理、绩效考核 “六统一” 落地见效。打造县域医学影像、心电诊断、医学检验、消毒供应、中心药房 “五大共享中心”，推动县域医疗资源集约化利用。加强县域医疗次中心建设，推动优质医疗资源向乡镇下沉，持续提升县域诊疗能力，稳步提升县域内就诊率。</w:t>
      </w:r>
    </w:p>
    <w:p w14:paraId="2A81159B">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全面夯实基层医疗卫生服务网底。</w:t>
      </w:r>
      <w:r>
        <w:rPr>
          <w:rFonts w:hint="eastAsia" w:ascii="方正仿宋_GB2312" w:hAnsi="方正仿宋_GB2312" w:eastAsia="方正仿宋_GB2312" w:cs="方正仿宋_GB2312"/>
          <w:snapToGrid w:val="0"/>
          <w:color w:val="000000"/>
          <w:kern w:val="0"/>
          <w:sz w:val="32"/>
          <w:szCs w:val="32"/>
          <w:lang w:val="en-US" w:eastAsia="zh-CN" w:bidi="ar-SA"/>
        </w:rPr>
        <w:t>实施医疗卫生强基工程，持续推进乡镇卫生院、村卫生室标准化建设，配齐配强基本医疗设备，改善基层就医环境。稳定和优化基层卫生人才队伍，落实 “县管乡用、乡聘村用” 机制，加强基层医务人员培训，推广适宜诊疗技术，持续提升基层常见病、多发病诊疗能力。完善家庭医生签约服务，扩面提质增效，重点加强老年人、慢性病患者、孕产妇、儿童等重点人群签约服务，筑牢基层医疗服务防线。</w:t>
      </w:r>
    </w:p>
    <w:p w14:paraId="1542EC6F">
      <w:pPr>
        <w:pStyle w:val="11"/>
        <w:keepNext w:val="0"/>
        <w:keepLines w:val="0"/>
        <w:pageBreakBefore w:val="0"/>
        <w:widowControl/>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创新医疗服务模式改善就医体验。</w:t>
      </w:r>
      <w:r>
        <w:rPr>
          <w:rFonts w:hint="eastAsia" w:ascii="方正仿宋_GB2312" w:hAnsi="方正仿宋_GB2312" w:eastAsia="方正仿宋_GB2312" w:cs="方正仿宋_GB2312"/>
          <w:snapToGrid w:val="0"/>
          <w:color w:val="000000"/>
          <w:kern w:val="0"/>
          <w:sz w:val="32"/>
          <w:szCs w:val="32"/>
          <w:lang w:val="en-US" w:eastAsia="zh-CN" w:bidi="ar-SA"/>
        </w:rPr>
        <w:t>推广多学科诊疗、加速康复外科、日间手术、责任制整体护理等先进服务模式。优化门诊、急诊、住院、转诊服务流程，推行分时段预约诊疗、检查检验集中预约。持续扩大医疗机构检查检验结果互认范围，打破信息壁垒，减少群众重复检查。加强医疗质量管理与控制，完善医疗质量安全核心制度，持续提升医疗服务同质化水平，保障医疗安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D9E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01354BDD">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baseline"/>
              <w:rPr>
                <w:rFonts w:hint="eastAsia" w:ascii="Times New Roman" w:hAnsi="Times New Roman" w:eastAsia="方正楷体_GBK" w:cs="Times New Roman"/>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专栏</w:t>
            </w:r>
            <w:r>
              <w:rPr>
                <w:rFonts w:hint="eastAsia" w:ascii="方正仿宋_GB2312" w:hAnsi="方正仿宋_GB2312" w:eastAsia="方正仿宋_GB2312" w:cs="方正仿宋_GB2312"/>
                <w:b/>
                <w:bCs/>
                <w:color w:val="auto"/>
                <w:sz w:val="28"/>
                <w:szCs w:val="28"/>
                <w:highlight w:val="none"/>
                <w:lang w:val="en-US" w:eastAsia="zh-CN"/>
              </w:rPr>
              <w:t>2</w:t>
            </w:r>
            <w:r>
              <w:rPr>
                <w:rFonts w:hint="eastAsia" w:ascii="方正仿宋_GB2312" w:hAnsi="方正仿宋_GB2312" w:eastAsia="方正仿宋_GB2312" w:cs="方正仿宋_GB2312"/>
                <w:b/>
                <w:bCs/>
                <w:color w:val="auto"/>
                <w:sz w:val="28"/>
                <w:szCs w:val="28"/>
                <w:highlight w:val="none"/>
              </w:rPr>
              <w:t xml:space="preserve"> </w:t>
            </w:r>
          </w:p>
        </w:tc>
      </w:tr>
      <w:tr w14:paraId="6D5E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7306E1CA">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val="0"/>
                <w:snapToGrid w:val="0"/>
                <w:color w:val="000000"/>
                <w:kern w:val="0"/>
                <w:sz w:val="28"/>
                <w:szCs w:val="28"/>
                <w:lang w:val="en-US" w:eastAsia="zh-CN" w:bidi="ar-SA"/>
              </w:rPr>
              <w:t>在强化公共卫生体系建设的基础上，昌都市聚焦群众 “看病难、看病贵” 问题，以县域紧密型医共体为核心抓手，推动优质医疗资源下沉。</w:t>
            </w:r>
          </w:p>
          <w:p w14:paraId="32C611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0" w:firstLine="562" w:firstLineChars="200"/>
              <w:jc w:val="both"/>
              <w:textAlignment w:val="baseline"/>
              <w:rPr>
                <w:rFonts w:hint="default" w:ascii="Times New Roman" w:hAnsi="Times New Roman" w:eastAsia="方正仿宋_GBK" w:cs="Times New Roman"/>
                <w:color w:val="auto"/>
                <w:sz w:val="28"/>
                <w:szCs w:val="28"/>
                <w:highlight w:val="none"/>
                <w:lang w:eastAsia="zh-CN"/>
              </w:rPr>
            </w:pPr>
            <w:r>
              <w:rPr>
                <w:rFonts w:hint="eastAsia" w:ascii="方正仿宋_GB2312" w:hAnsi="方正仿宋_GB2312" w:eastAsia="方正仿宋_GB2312" w:cs="方正仿宋_GB2312"/>
                <w:b/>
                <w:bCs/>
                <w:snapToGrid w:val="0"/>
                <w:color w:val="000000"/>
                <w:kern w:val="0"/>
                <w:sz w:val="28"/>
                <w:szCs w:val="28"/>
                <w:lang w:val="en-US" w:eastAsia="zh-CN" w:bidi="ar-SA"/>
              </w:rPr>
              <w:t>县域紧密型医共体建设项目：</w:t>
            </w:r>
            <w:r>
              <w:rPr>
                <w:rFonts w:hint="eastAsia" w:ascii="方正仿宋_GB2312" w:hAnsi="方正仿宋_GB2312" w:eastAsia="方正仿宋_GB2312" w:cs="方正仿宋_GB2312"/>
                <w:b w:val="0"/>
                <w:snapToGrid w:val="0"/>
                <w:color w:val="000000"/>
                <w:kern w:val="0"/>
                <w:sz w:val="28"/>
                <w:szCs w:val="28"/>
                <w:lang w:val="en-US" w:eastAsia="zh-CN" w:bidi="ar-SA"/>
              </w:rPr>
              <w:t>覆盖十县一区，全部通过中央预算内资金保障，是昌都市医疗卫生领域核心工程。重点建设三大模块：县级医院（含藏医医院）补短板：改造业务用房、购置 DR、CT、超声等基础医疗设备，提升常见病、多发病诊疗能力；县域资源共享中心：打造医学影像、心电诊断、医学检验、消毒供应、中心药房 “五大中心”，实现县域医疗资源集约化利用；基层服务能力提升：在重点中心乡镇建设县域医疗次中心，配置智慧多功能巡回诊疗车，改善基层中（藏）医馆服务条件，推广智能医学影像辅助诊断系统。项目建成后，县域内就诊率稳步提升，基本实现 “大病不出县、常见病不出乡” 目标，显著缩小城乡医疗差距。</w:t>
            </w:r>
          </w:p>
        </w:tc>
      </w:tr>
    </w:tbl>
    <w:p w14:paraId="70553805">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11" w:name="_Toc7576"/>
      <w:r>
        <w:rPr>
          <w:rFonts w:hint="default" w:ascii="方正楷体_GB2312" w:hAnsi="方正楷体_GB2312" w:eastAsia="方正楷体_GB2312" w:cs="方正楷体_GB2312"/>
          <w:b/>
          <w:bCs w:val="0"/>
          <w:sz w:val="32"/>
          <w:szCs w:val="32"/>
          <w:lang w:val="en-US" w:eastAsia="zh-CN"/>
        </w:rPr>
        <w:t>深化医药卫生体制改革，提升行业治理现代化水平</w:t>
      </w:r>
      <w:bookmarkEnd w:id="11"/>
    </w:p>
    <w:p w14:paraId="4A58E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纵深推进公立医院高质量发展。</w:t>
      </w:r>
      <w:r>
        <w:rPr>
          <w:rFonts w:hint="eastAsia" w:ascii="方正仿宋_GB2312" w:hAnsi="方正仿宋_GB2312" w:eastAsia="方正仿宋_GB2312" w:cs="方正仿宋_GB2312"/>
          <w:snapToGrid w:val="0"/>
          <w:color w:val="000000"/>
          <w:kern w:val="0"/>
          <w:sz w:val="32"/>
          <w:szCs w:val="32"/>
          <w:lang w:val="en-US" w:eastAsia="zh-CN" w:bidi="ar-SA"/>
        </w:rPr>
        <w:t>坚持和强化公立医院公益性导向，全面落实党委领导下的院长负责制。深化公立医院人事编制、薪酬制度、医疗服务价格、医保支付、综合监管等改革，落实 “两个允许” 要求，健全符合医疗行业特点的薪酬制度。完善公立医院绩效考核体系，强化考核结果运用，引导公立医院持续提升运行效率和服务质量，推动公立医院发展方式从规模扩张向质量效益转变。</w:t>
      </w:r>
    </w:p>
    <w:p w14:paraId="2B313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 xml:space="preserve"> 深化 “三医” 联动改革。</w:t>
      </w:r>
      <w:r>
        <w:rPr>
          <w:rFonts w:hint="eastAsia" w:ascii="方正仿宋_GB2312" w:hAnsi="方正仿宋_GB2312" w:eastAsia="方正仿宋_GB2312" w:cs="方正仿宋_GB2312"/>
          <w:snapToGrid w:val="0"/>
          <w:color w:val="000000"/>
          <w:kern w:val="0"/>
          <w:sz w:val="32"/>
          <w:szCs w:val="32"/>
          <w:lang w:val="en-US" w:eastAsia="zh-CN" w:bidi="ar-SA"/>
        </w:rPr>
        <w:t>学习借鉴三明医改经验，强化医疗、医保、医药协同发展和治理。全面推行以按病种付费为主的多元复合式医保支付方式改革，发挥医保支付对医疗行为的激励约束作用。常态化制度化开展药品和医用耗材集中带量采购，完善集采药品耗材落地使用政策，切实减轻群众就医负担。健全药品供应保障体系，加强医疗机构用药管理，保障基层用药与上级医院有效衔接。</w:t>
      </w:r>
    </w:p>
    <w:p w14:paraId="7FDEC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健全医疗卫生行业综合监管体系。</w:t>
      </w:r>
      <w:r>
        <w:rPr>
          <w:rFonts w:hint="eastAsia" w:ascii="方正仿宋_GB2312" w:hAnsi="方正仿宋_GB2312" w:eastAsia="方正仿宋_GB2312" w:cs="方正仿宋_GB2312"/>
          <w:snapToGrid w:val="0"/>
          <w:color w:val="000000"/>
          <w:kern w:val="0"/>
          <w:sz w:val="32"/>
          <w:szCs w:val="32"/>
          <w:lang w:val="en-US" w:eastAsia="zh-CN" w:bidi="ar-SA"/>
        </w:rPr>
        <w:t>创新监管方式，推行 “双随机、一公开” 监管、信用监管和 “互联网 + 监管”，实现医疗卫生行业全流程、全要素监管。加强医疗服务、公共卫生、药品器械、采供血等重点领域监管，严厉打击违法违规执业行为。加强行业作风建设，持续整治医药购销领域和医疗服务中的不正之风，弘扬崇高职业精神，加强医德医风建设，构建和谐医患关系。</w:t>
      </w:r>
    </w:p>
    <w:p w14:paraId="09CE3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76" w:lineRule="exact"/>
        <w:ind w:left="0" w:right="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完善分级诊疗制度。</w:t>
      </w:r>
      <w:r>
        <w:rPr>
          <w:rFonts w:hint="eastAsia" w:ascii="方正仿宋_GB2312" w:hAnsi="方正仿宋_GB2312" w:eastAsia="方正仿宋_GB2312" w:cs="方正仿宋_GB2312"/>
          <w:snapToGrid w:val="0"/>
          <w:color w:val="000000"/>
          <w:kern w:val="0"/>
          <w:sz w:val="32"/>
          <w:szCs w:val="32"/>
          <w:lang w:val="en-US" w:eastAsia="zh-CN" w:bidi="ar-SA"/>
        </w:rPr>
        <w:t>明确各级各类医疗机构功能定位，规范各级医疗机构诊疗行为，畅通医联体内双向转诊通道，推动形成 “基层首诊、双向转诊、急慢分治、上下联动” 的分级诊疗格局。大力发展远程医疗服务，构建覆盖市、县、乡、村四级的远程医疗服务网络，推动优质医疗资源向基层、偏远地区延伸，有效缓解群众 “看病远、看病难” 问题。</w:t>
      </w:r>
    </w:p>
    <w:p w14:paraId="0B41C2E1">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r>
        <w:rPr>
          <w:rFonts w:hint="eastAsia" w:ascii="仿宋_GB2312" w:hAnsi="仿宋_GB2312" w:eastAsia="仿宋_GB2312" w:cs="仿宋_GB2312"/>
          <w:sz w:val="32"/>
          <w:szCs w:val="32"/>
          <w:lang w:val="en-US" w:eastAsia="zh-CN"/>
        </w:rPr>
        <w:t>全生命周期保障重点人群健康，促进人口高质量发展</w:t>
      </w:r>
    </w:p>
    <w:p w14:paraId="149211FA">
      <w:pPr>
        <w:pStyle w:val="11"/>
        <w:keepNext w:val="0"/>
        <w:keepLines w:val="0"/>
        <w:pageBreakBefore w:val="0"/>
        <w:widowControl/>
        <w:numPr>
          <w:ilvl w:val="0"/>
          <w:numId w:val="0"/>
        </w:numPr>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Chars="0" w:right="0" w:rightChars="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健全生育支持政策体系。</w:t>
      </w:r>
      <w:r>
        <w:rPr>
          <w:rFonts w:hint="eastAsia" w:ascii="方正仿宋_GB2312" w:hAnsi="方正仿宋_GB2312" w:eastAsia="方正仿宋_GB2312" w:cs="方正仿宋_GB2312"/>
          <w:snapToGrid w:val="0"/>
          <w:color w:val="000000"/>
          <w:kern w:val="0"/>
          <w:sz w:val="32"/>
          <w:szCs w:val="32"/>
          <w:lang w:val="en-US" w:eastAsia="zh-CN" w:bidi="ar-SA"/>
        </w:rPr>
        <w:t>依法组织实施三孩生育政策及配套支持措施，细化落实育儿补贴、生育休假、税收、住房、教育等配套政策，持续降低家庭生育、养育、教育成本。落实生育保险制度，扩大生育保险覆盖范围，保障生育职工合法权益。大力发展普惠托育服务，推进托育服务与妇幼健康服务一体化发展，支持用人单位提供福利性托育服务，建设县级托育综合服务中心，持续扩大普惠托位供给，缓解群众 “托育难” 问题。</w:t>
      </w:r>
    </w:p>
    <w:p w14:paraId="5F7DC61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仿宋_GB2312" w:hAnsi="方正仿宋_GB2312" w:eastAsia="方正仿宋_GB2312" w:cs="方正仿宋_GB2312"/>
          <w:b/>
          <w:bCs/>
          <w:snapToGrid w:val="0"/>
          <w:color w:val="000000"/>
          <w:kern w:val="0"/>
          <w:sz w:val="32"/>
          <w:szCs w:val="32"/>
          <w:lang w:val="en-US" w:eastAsia="zh-CN" w:bidi="ar-SA"/>
        </w:rPr>
        <w:t>持续提升妇幼健康服务水平。</w:t>
      </w:r>
      <w:r>
        <w:rPr>
          <w:rFonts w:hint="eastAsia" w:ascii="仿宋_GB2312" w:hAnsi="仿宋_GB2312" w:eastAsia="仿宋_GB2312" w:cs="仿宋_GB2312"/>
          <w:sz w:val="32"/>
          <w:szCs w:val="32"/>
          <w:lang w:val="en-US" w:eastAsia="zh-CN"/>
        </w:rPr>
        <w:t>推动市级妇幼保健院机构标准化建设与规范化管理，健全妇幼保健机构为核心、基层医疗卫生机构为基础、综合医疗机构为支持的妇幼健康服务网络，优化危重孕产妇、新生儿救治中心救治体系，落实母婴安全五项制度及三病预防制度。推动妇女儿童健康中心建设，完善妇女全生命健康管理模式，健全婚前保健、孕前优生优育一站式服务，做好儿童保健服务管理，提升新生儿听力及儿童视力、肥胖、龋齿等常见病防控和心理健康服务；完善康复中心建设，推动孕产期、产前后一体化和多学科诊疗协作，促进中（藏）医药在妇幼健康服务中的应用发展；加快出生缺陷实验启动进程，加强出生却缺陷防治工作，增强产前新生儿疾病筛查诊断服务质量，推动0-18岁儿童先天性新脏病早筛早诊早治；提高病理中心服务能力，扩大“两癌”筛查覆盖面，推进早期筛查和后续治疗相衔接。</w:t>
      </w:r>
    </w:p>
    <w:p w14:paraId="3CFDEAA4">
      <w:pPr>
        <w:pStyle w:val="11"/>
        <w:keepNext w:val="0"/>
        <w:keepLines w:val="0"/>
        <w:pageBreakBefore w:val="0"/>
        <w:widowControl/>
        <w:numPr>
          <w:ilvl w:val="0"/>
          <w:numId w:val="0"/>
        </w:numPr>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Chars="0" w:right="0" w:rightChars="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完善老年健康服务体系。</w:t>
      </w:r>
      <w:r>
        <w:rPr>
          <w:rFonts w:hint="eastAsia" w:ascii="方正仿宋_GB2312" w:hAnsi="方正仿宋_GB2312" w:eastAsia="方正仿宋_GB2312" w:cs="方正仿宋_GB2312"/>
          <w:snapToGrid w:val="0"/>
          <w:color w:val="000000"/>
          <w:kern w:val="0"/>
          <w:sz w:val="32"/>
          <w:szCs w:val="32"/>
          <w:lang w:val="en-US" w:eastAsia="zh-CN" w:bidi="ar-SA"/>
        </w:rPr>
        <w:t>推进老年健康服务体系建设，推动二级及以上综合医院、藏医院规范设置老年医学科，开展老年友善医疗机构建设。建立健全老年健康危险因素干预、疾病早诊早治、失能预防三级预防体系，增加老年医疗护理、康复保健、安宁疗护等接续性服务供给。深化医养结合，支持医疗卫生机构与养老机构开展多种形式合作，推动医疗卫生服务向养老机构、社区、家庭延伸，持续提升老年健康服务水平。</w:t>
      </w:r>
    </w:p>
    <w:p w14:paraId="34DE914F">
      <w:pPr>
        <w:pStyle w:val="11"/>
        <w:keepNext w:val="0"/>
        <w:keepLines w:val="0"/>
        <w:pageBreakBefore w:val="0"/>
        <w:widowControl/>
        <w:numPr>
          <w:ilvl w:val="0"/>
          <w:numId w:val="0"/>
        </w:numPr>
        <w:suppressLineNumbers w:val="0"/>
        <w:shd w:val="clear" w:color="auto" w:fill="FFFFFF"/>
        <w:kinsoku w:val="0"/>
        <w:wordWrap/>
        <w:overflowPunct/>
        <w:topLinePunct w:val="0"/>
        <w:autoSpaceDE w:val="0"/>
        <w:autoSpaceDN w:val="0"/>
        <w:bidi w:val="0"/>
        <w:adjustRightInd w:val="0"/>
        <w:snapToGrid w:val="0"/>
        <w:spacing w:before="0" w:beforeAutospacing="0" w:after="0" w:afterAutospacing="0" w:line="576" w:lineRule="exact"/>
        <w:ind w:leftChars="0" w:right="0" w:rightChars="0" w:firstLine="643"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SA"/>
        </w:rPr>
      </w:pPr>
      <w:r>
        <w:rPr>
          <w:rFonts w:hint="eastAsia" w:ascii="方正仿宋_GB2312" w:hAnsi="方正仿宋_GB2312" w:eastAsia="方正仿宋_GB2312" w:cs="方正仿宋_GB2312"/>
          <w:b/>
          <w:bCs/>
          <w:snapToGrid w:val="0"/>
          <w:color w:val="000000"/>
          <w:kern w:val="0"/>
          <w:sz w:val="32"/>
          <w:szCs w:val="32"/>
          <w:lang w:val="en-US" w:eastAsia="zh-CN" w:bidi="ar-SA"/>
        </w:rPr>
        <w:t>强化重点人群健康保障。</w:t>
      </w:r>
      <w:r>
        <w:rPr>
          <w:rFonts w:hint="eastAsia" w:ascii="方正仿宋_GB2312" w:hAnsi="方正仿宋_GB2312" w:eastAsia="方正仿宋_GB2312" w:cs="方正仿宋_GB2312"/>
          <w:snapToGrid w:val="0"/>
          <w:color w:val="000000"/>
          <w:kern w:val="0"/>
          <w:sz w:val="32"/>
          <w:szCs w:val="32"/>
          <w:lang w:val="en-US" w:eastAsia="zh-CN" w:bidi="ar-SA"/>
        </w:rPr>
        <w:t>落实职业健康保护行动，强化职业病危害源头防控，健全职业病监测评估体系，提升职业病诊断救治能力。巩固拓展健康扶贫成果同乡村振兴有效衔接，持续落实医疗保障帮扶政策，严防因病返贫致贫。加强残疾人健康服务，推进残疾人家庭医生签约服务，提升康复服务能力。做好流动人口、留守人群等重点人群健康管理和服务，持续提升健康服务公平性。</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7C6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24D33FBB">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baseline"/>
              <w:rPr>
                <w:rFonts w:hint="eastAsia" w:ascii="Times New Roman" w:hAnsi="Times New Roman" w:eastAsia="方正楷体_GBK" w:cs="Times New Roman"/>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专栏</w:t>
            </w:r>
            <w:r>
              <w:rPr>
                <w:rFonts w:hint="eastAsia" w:ascii="方正仿宋_GB2312" w:hAnsi="方正仿宋_GB2312" w:eastAsia="方正仿宋_GB2312" w:cs="方正仿宋_GB2312"/>
                <w:b/>
                <w:bCs/>
                <w:color w:val="auto"/>
                <w:sz w:val="28"/>
                <w:szCs w:val="28"/>
                <w:highlight w:val="none"/>
                <w:lang w:val="en-US" w:eastAsia="zh-CN"/>
              </w:rPr>
              <w:t>3</w:t>
            </w:r>
          </w:p>
        </w:tc>
      </w:tr>
      <w:tr w14:paraId="7296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39797237">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default" w:ascii="Times New Roman" w:hAnsi="Times New Roman" w:eastAsia="方正仿宋_GBK" w:cs="Times New Roman"/>
                <w:color w:val="auto"/>
                <w:sz w:val="28"/>
                <w:szCs w:val="28"/>
                <w:highlight w:val="none"/>
                <w:lang w:eastAsia="zh-CN"/>
              </w:rPr>
            </w:pPr>
            <w:r>
              <w:rPr>
                <w:rFonts w:hint="eastAsia" w:ascii="方正仿宋_GB2312" w:hAnsi="方正仿宋_GB2312" w:eastAsia="方正仿宋_GB2312" w:cs="方正仿宋_GB2312"/>
                <w:b/>
                <w:bCs/>
                <w:snapToGrid w:val="0"/>
                <w:color w:val="000000"/>
                <w:kern w:val="0"/>
                <w:sz w:val="28"/>
                <w:szCs w:val="28"/>
                <w:lang w:val="en-US" w:eastAsia="zh-CN" w:bidi="ar-SA"/>
              </w:rPr>
              <w:t>托育综合服务中心建设项目：</w:t>
            </w:r>
            <w:r>
              <w:rPr>
                <w:rFonts w:hint="eastAsia" w:ascii="方正仿宋_GB2312" w:hAnsi="方正仿宋_GB2312" w:eastAsia="方正仿宋_GB2312" w:cs="方正仿宋_GB2312"/>
                <w:b w:val="0"/>
                <w:snapToGrid w:val="0"/>
                <w:color w:val="000000"/>
                <w:kern w:val="0"/>
                <w:sz w:val="28"/>
                <w:szCs w:val="28"/>
                <w:lang w:val="en-US" w:eastAsia="zh-CN" w:bidi="ar-SA"/>
              </w:rPr>
              <w:t>在县级行政区建设托育综合服务中心，总建筑面积 1200 平方米，由中央预算内资金全额支持。依托社区服务机构和辖区幼儿园建立托育中心，通过基础改造和托位补助形式保障机构运行。功能区域涵盖婴幼儿生活用房（睡眠区、喂养区、活动区）、游戏活动区、卫生保健室、早期发展评估室、家长课堂等，配套符合婴幼儿安全标准的设施设备。提供 “托育服务 + 家庭指导 + 人员培训” 三位一体服务，有效缓解 “托育难” 问题，助力人口长期均衡发展。</w:t>
            </w:r>
          </w:p>
        </w:tc>
      </w:tr>
    </w:tbl>
    <w:p w14:paraId="4A7BB9CA">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12" w:name="_Toc14964"/>
      <w:r>
        <w:rPr>
          <w:rFonts w:hint="default" w:ascii="方正楷体_GB2312" w:hAnsi="方正楷体_GB2312" w:eastAsia="方正楷体_GB2312" w:cs="方正楷体_GB2312"/>
          <w:b/>
          <w:bCs w:val="0"/>
          <w:sz w:val="32"/>
          <w:szCs w:val="32"/>
          <w:lang w:val="en-US" w:eastAsia="zh-CN"/>
        </w:rPr>
        <w:t>推动藏医药传承创新发展，打造藏东特色医药品牌</w:t>
      </w:r>
      <w:bookmarkEnd w:id="12"/>
    </w:p>
    <w:p w14:paraId="06233004">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完善藏医药服务体系。</w:t>
      </w:r>
      <w:r>
        <w:rPr>
          <w:rFonts w:hint="eastAsia" w:ascii="方正仿宋_GB2312" w:hAnsi="方正仿宋_GB2312" w:eastAsia="方正仿宋_GB2312" w:cs="方正仿宋_GB2312"/>
          <w:sz w:val="32"/>
          <w:szCs w:val="32"/>
          <w:lang w:val="en-US" w:eastAsia="zh-CN"/>
        </w:rPr>
        <w:t>加强市、县藏医院基础设施、重点专科和人才队伍建设，推进自治区级藏医区域医疗中心和国家中医特色重点医院建设。持续推进乡镇卫生院规范化藏医馆建设，推广藏医药适宜技术，推动藏医药服务向村卫生室延伸，持续提升基层藏医药服务覆盖率，构建覆盖城乡、功能完善、特色鲜明的藏医药服务体系。</w:t>
      </w:r>
    </w:p>
    <w:p w14:paraId="5D74C9E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加强藏医药保护传承。</w:t>
      </w:r>
      <w:r>
        <w:rPr>
          <w:rFonts w:hint="eastAsia" w:ascii="方正仿宋_GB2312" w:hAnsi="方正仿宋_GB2312" w:eastAsia="方正仿宋_GB2312" w:cs="方正仿宋_GB2312"/>
          <w:sz w:val="32"/>
          <w:szCs w:val="32"/>
          <w:lang w:val="en-US" w:eastAsia="zh-CN"/>
        </w:rPr>
        <w:t>加强藏医药古典医籍、传统知识、炮制技术的抢救、保护和传承，推动藏医药非物质文化遗产保护传承。加强藏医药人才培养，健全藏医药规范化培训体系，深化医教协同，加大藏医药学科带头人和基层实用型人才培养力度，推动藏医药事业薪火相传。</w:t>
      </w:r>
    </w:p>
    <w:p w14:paraId="6E92AC8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推动藏医药科研创新与产业发展。</w:t>
      </w:r>
      <w:r>
        <w:rPr>
          <w:rFonts w:hint="eastAsia" w:ascii="方正仿宋_GB2312" w:hAnsi="方正仿宋_GB2312" w:eastAsia="方正仿宋_GB2312" w:cs="方正仿宋_GB2312"/>
          <w:sz w:val="32"/>
          <w:szCs w:val="32"/>
          <w:lang w:val="en-US" w:eastAsia="zh-CN"/>
        </w:rPr>
        <w:t>加强藏医药科研平台建设，支持藏医药优势病种诊疗、高原病防治、道地藏药材种植等领域科研攻关，推动藏医药理论和技术创新。加强藏医药产业升级和产品供给，规范化建设道地藏药材种植基地，推动藏医药产业与康养、旅游等产业深度融合，打造藏东藏医药特色产业品牌。</w:t>
      </w:r>
    </w:p>
    <w:p w14:paraId="393CF05B">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深化藏医药交流合作。</w:t>
      </w:r>
      <w:r>
        <w:rPr>
          <w:rFonts w:hint="eastAsia" w:ascii="方正仿宋_GB2312" w:hAnsi="方正仿宋_GB2312" w:eastAsia="方正仿宋_GB2312" w:cs="方正仿宋_GB2312"/>
          <w:sz w:val="32"/>
          <w:szCs w:val="32"/>
          <w:lang w:val="en-US" w:eastAsia="zh-CN"/>
        </w:rPr>
        <w:t>加强与区内外藏医药科研机构的交流合作，积极参与藏医药国际研讨和学术交流活动，推动藏医药文化传播。促进藏西医协同发展，推动藏西医在临床诊疗、人才培养、科研创新等方面深度融合，在疾病预防、治疗、康复中更好发挥藏西医各自优势，提升综合诊疗服务能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76C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6E0EAB18">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专栏</w:t>
            </w:r>
            <w:r>
              <w:rPr>
                <w:rFonts w:hint="eastAsia" w:ascii="方正仿宋_GB2312" w:hAnsi="方正仿宋_GB2312" w:eastAsia="方正仿宋_GB2312" w:cs="方正仿宋_GB2312"/>
                <w:b/>
                <w:bCs/>
                <w:color w:val="auto"/>
                <w:sz w:val="28"/>
                <w:szCs w:val="28"/>
                <w:highlight w:val="none"/>
                <w:lang w:val="en-US" w:eastAsia="zh-CN"/>
              </w:rPr>
              <w:t>4</w:t>
            </w:r>
            <w:r>
              <w:rPr>
                <w:rFonts w:hint="eastAsia" w:ascii="方正仿宋_GB2312" w:hAnsi="方正仿宋_GB2312" w:eastAsia="方正仿宋_GB2312" w:cs="方正仿宋_GB2312"/>
                <w:b/>
                <w:bCs/>
                <w:color w:val="auto"/>
                <w:sz w:val="28"/>
                <w:szCs w:val="28"/>
                <w:highlight w:val="none"/>
              </w:rPr>
              <w:t xml:space="preserve"> </w:t>
            </w:r>
          </w:p>
        </w:tc>
      </w:tr>
      <w:tr w14:paraId="0368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4713554E">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val="0"/>
                <w:snapToGrid w:val="0"/>
                <w:color w:val="000000"/>
                <w:kern w:val="0"/>
                <w:sz w:val="28"/>
                <w:szCs w:val="28"/>
                <w:lang w:val="en-US" w:eastAsia="zh-CN" w:bidi="ar-SA"/>
              </w:rPr>
              <w:t>藏医药作为中华民族优秀传统文化瑰宝，是昌都市医疗卫生事业的特色优势。昌都市坚持 “传承精华、守正创新” 理念，实施两大专项项目，推动藏医药事业焕发时代生机与活力。</w:t>
            </w:r>
          </w:p>
          <w:p w14:paraId="4C5D04E8">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bCs/>
                <w:snapToGrid w:val="0"/>
                <w:color w:val="000000"/>
                <w:kern w:val="0"/>
                <w:sz w:val="28"/>
                <w:szCs w:val="28"/>
                <w:lang w:val="en-US" w:eastAsia="zh-CN" w:bidi="ar-SA"/>
              </w:rPr>
              <w:t>基层藏医药服务能力提升项目：</w:t>
            </w:r>
            <w:r>
              <w:rPr>
                <w:rFonts w:hint="eastAsia" w:ascii="方正仿宋_GB2312" w:hAnsi="方正仿宋_GB2312" w:eastAsia="方正仿宋_GB2312" w:cs="方正仿宋_GB2312"/>
                <w:b w:val="0"/>
                <w:snapToGrid w:val="0"/>
                <w:color w:val="000000"/>
                <w:kern w:val="0"/>
                <w:sz w:val="28"/>
                <w:szCs w:val="28"/>
                <w:lang w:val="en-US" w:eastAsia="zh-CN" w:bidi="ar-SA"/>
              </w:rPr>
              <w:t>覆盖 11 个县级区域，通过中央预算内资金与其他资金组合保障，分阶段推进藏医药服务网络建设。</w:t>
            </w:r>
          </w:p>
          <w:p w14:paraId="304FDC56">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方正仿宋_GB2312" w:hAnsi="方正仿宋_GB2312" w:eastAsia="方正仿宋_GB2312" w:cs="方正仿宋_GB2312"/>
                <w:b w:val="0"/>
                <w:snapToGrid w:val="0"/>
                <w:color w:val="000000"/>
                <w:kern w:val="0"/>
                <w:sz w:val="28"/>
                <w:szCs w:val="28"/>
                <w:lang w:val="en-US" w:eastAsia="zh-CN" w:bidi="ar-SA"/>
              </w:rPr>
            </w:pPr>
            <w:r>
              <w:rPr>
                <w:rFonts w:hint="eastAsia" w:ascii="方正仿宋_GB2312" w:hAnsi="方正仿宋_GB2312" w:eastAsia="方正仿宋_GB2312" w:cs="方正仿宋_GB2312"/>
                <w:b w:val="0"/>
                <w:snapToGrid w:val="0"/>
                <w:color w:val="000000"/>
                <w:kern w:val="0"/>
                <w:sz w:val="28"/>
                <w:szCs w:val="28"/>
                <w:lang w:val="en-US" w:eastAsia="zh-CN" w:bidi="ar-SA"/>
              </w:rPr>
              <w:t>2028 年前实现 11 个县级藏医院服务能力提升，重点打造骨伤科、治未病科、心脑血管科等特色专科，推广藏医适宜技术；提档升级乡镇卫生院藏医馆，在基础条件较好的村卫生室建设藏医阁，配备藏医医师与基础诊疗设备；开展藏医药专业人才培训，每年培训藏医技术人员 200 人次以上，系统整理藏医药古籍文献，推动传统技艺传承。项目完成后，基层藏医药服务覆盖率提升至 90%，让群众在家门口享受 “简便验廉” 的藏医药服务。</w:t>
            </w:r>
          </w:p>
          <w:p w14:paraId="2E69694F">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snapToGrid w:val="0"/>
                <w:color w:val="000000"/>
                <w:kern w:val="0"/>
                <w:sz w:val="28"/>
                <w:szCs w:val="28"/>
                <w:lang w:val="en-US" w:eastAsia="zh-CN" w:bidi="ar-SA"/>
              </w:rPr>
              <w:t>医养结合治疗中心建设项目：</w:t>
            </w:r>
            <w:r>
              <w:rPr>
                <w:rFonts w:hint="eastAsia" w:ascii="方正仿宋_GB2312" w:hAnsi="方正仿宋_GB2312" w:eastAsia="方正仿宋_GB2312" w:cs="方正仿宋_GB2312"/>
                <w:b w:val="0"/>
                <w:snapToGrid w:val="0"/>
                <w:color w:val="000000"/>
                <w:kern w:val="0"/>
                <w:sz w:val="28"/>
                <w:szCs w:val="28"/>
                <w:lang w:val="en-US" w:eastAsia="zh-CN" w:bidi="ar-SA"/>
              </w:rPr>
              <w:t>依托二级以上藏医院，设立老年科、康复医学科，针对高血压、关节炎、心脑血管疾病等老年常见病，研究藏医药特色诊疗方案。采用 “公建民营” 模式，引导社会力量参与医养结合服务，建设集 “诊疗 - 康复 - 养生 - 护理” 于一体的藏医药康养基地。融合高原自然风光与藏文化元素，开发藏医药养生保健、康复理疗、文化体验等特色服务，推动藏医药健康服务与旅游产业协同发展。将打造 2-3 个藏医药医养结合示范基地，年服务老年群体 5 万人次以上，助力构建 “健康老龄化” 服务体系。</w:t>
            </w:r>
          </w:p>
        </w:tc>
      </w:tr>
    </w:tbl>
    <w:p w14:paraId="29BA33DA">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3" w:name="_Toc26938"/>
      <w:r>
        <w:rPr>
          <w:rFonts w:hint="default" w:ascii="方正楷体_GB2312" w:hAnsi="方正楷体_GB2312" w:eastAsia="方正楷体_GB2312" w:cs="方正楷体_GB2312"/>
          <w:b/>
          <w:bCs w:val="0"/>
          <w:sz w:val="32"/>
          <w:szCs w:val="32"/>
          <w:lang w:val="en-US" w:eastAsia="zh-CN"/>
        </w:rPr>
        <w:t>强化科技创新与数字赋能，培育卫生健康新质生产力</w:t>
      </w:r>
      <w:bookmarkEnd w:id="13"/>
    </w:p>
    <w:p w14:paraId="2A80910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加强卫生健康科技创新。</w:t>
      </w:r>
      <w:r>
        <w:rPr>
          <w:rFonts w:hint="eastAsia" w:ascii="方正仿宋_GB2312" w:hAnsi="方正仿宋_GB2312" w:eastAsia="方正仿宋_GB2312" w:cs="方正仿宋_GB2312"/>
          <w:sz w:val="32"/>
          <w:szCs w:val="32"/>
          <w:lang w:val="en-US" w:eastAsia="zh-CN"/>
        </w:rPr>
        <w:t>坚持 “四个面向”，支持开展高原病、地方病、常见多发病防治技术研究和适宜技术推广，鼓励医疗卫生机构与高校、科研院所、企业开展科研合作，推动原创性疾病预防诊断治疗新技术、新产品、新方案产出。加强科研平台建设，完善科研激励机制，提升医疗卫生机构科研创新能力，以科技创新引领医疗服务能力提质升级。</w:t>
      </w:r>
    </w:p>
    <w:p w14:paraId="1CC59039">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加快卫生健康数字化转型。</w:t>
      </w:r>
      <w:r>
        <w:rPr>
          <w:rFonts w:hint="eastAsia" w:ascii="方正仿宋_GB2312" w:hAnsi="方正仿宋_GB2312" w:eastAsia="方正仿宋_GB2312" w:cs="方正仿宋_GB2312"/>
          <w:sz w:val="32"/>
          <w:szCs w:val="32"/>
          <w:lang w:val="en-US" w:eastAsia="zh-CN"/>
        </w:rPr>
        <w:t>升级完善全民健康信息平台，推进电子健康档案和电子病历信息共享，打破医疗机构信息壁垒。大力发展 “互联网 + 医疗健康”，推进 “互联网 + 医疗健康” 项目落地见效，开展远程医疗、健康咨询、预约挂号、互联网诊疗等服务，推动智慧医院建设，持续提升医疗服务智能化、便捷化水平。</w:t>
      </w:r>
    </w:p>
    <w:p w14:paraId="4E4EA94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建强高素质专业化人才队伍。</w:t>
      </w:r>
      <w:r>
        <w:rPr>
          <w:rFonts w:hint="eastAsia" w:ascii="方正仿宋_GB2312" w:hAnsi="方正仿宋_GB2312" w:eastAsia="方正仿宋_GB2312" w:cs="方正仿宋_GB2312"/>
          <w:sz w:val="32"/>
          <w:szCs w:val="32"/>
          <w:lang w:val="en-US" w:eastAsia="zh-CN"/>
        </w:rPr>
        <w:t xml:space="preserve">深入实施人才强卫战略，健全医学人才培养体系，加大本土化人才培养，重点培养全科、儿科、精神科、麻醉科等急需紧缺人才。优化人才引进政策，完善配套保障，引进高层次学科带头人和急需紧缺专业人才。完善人才评价、使用、激励机制，健全继续医学教育制度，提升卫生健康人才队伍整体素质。推动卫生专业技术人员“无证清零”行动，提升医考昌都考点服务能力，推进西医临床实践技能基地建设，强化中医临床实践技能基地考试系统建设能力，提升医考中心承接能力，扩大考生承载容量，增加考试承接种类，全方位保障昌都考点考生考试需求。 </w:t>
      </w:r>
    </w:p>
    <w:p w14:paraId="25BA1BB3">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推动健康产业规范发展。</w:t>
      </w:r>
      <w:r>
        <w:rPr>
          <w:rFonts w:hint="eastAsia" w:ascii="方正仿宋_GB2312" w:hAnsi="方正仿宋_GB2312" w:eastAsia="方正仿宋_GB2312" w:cs="方正仿宋_GB2312"/>
          <w:sz w:val="32"/>
          <w:szCs w:val="32"/>
          <w:lang w:val="en-US" w:eastAsia="zh-CN"/>
        </w:rPr>
        <w:t>鼓励社会力量举办高水平、特色化医疗机构，支持发展康复、护理、安宁疗护等接续性医疗服务。规范发展健康管理、健康咨询、智慧健康等新业态，推动健康与旅游、养老、体育、藏医药等产业深度融合，培育健康产业发展新动能，不断满足群众多元化、高品质健康需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D5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61EC9066">
            <w:pPr>
              <w:pStyle w:val="12"/>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专栏</w:t>
            </w:r>
            <w:r>
              <w:rPr>
                <w:rFonts w:hint="eastAsia" w:ascii="方正仿宋_GB2312" w:hAnsi="方正仿宋_GB2312" w:eastAsia="方正仿宋_GB2312" w:cs="方正仿宋_GB2312"/>
                <w:b/>
                <w:bCs/>
                <w:color w:val="auto"/>
                <w:sz w:val="28"/>
                <w:szCs w:val="28"/>
                <w:highlight w:val="none"/>
                <w:lang w:val="en-US" w:eastAsia="zh-CN"/>
              </w:rPr>
              <w:t>5</w:t>
            </w:r>
            <w:r>
              <w:rPr>
                <w:rFonts w:hint="eastAsia" w:ascii="方正仿宋_GB2312" w:hAnsi="方正仿宋_GB2312" w:eastAsia="方正仿宋_GB2312" w:cs="方正仿宋_GB2312"/>
                <w:b/>
                <w:bCs/>
                <w:color w:val="auto"/>
                <w:sz w:val="28"/>
                <w:szCs w:val="28"/>
                <w:highlight w:val="none"/>
              </w:rPr>
              <w:t xml:space="preserve"> </w:t>
            </w:r>
          </w:p>
        </w:tc>
      </w:tr>
      <w:tr w14:paraId="663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noWrap w:val="0"/>
            <w:vAlign w:val="top"/>
          </w:tcPr>
          <w:p w14:paraId="74438DF0">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智慧医疗是破解高原地区医疗资源不均、服务可及性不足的关键举措，是推动卫生健康事业高质量发展的核心支撑。昌都市聚焦 “一云一网一平台” 建设目标，依托 5G、人工智能、大数据等新技术，系统推进四大重点项目，构建覆盖全生命周期的高原特色智慧医疗服务体系。</w:t>
            </w:r>
          </w:p>
          <w:p w14:paraId="64DFB446">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全民健康信息平台升级项目：</w:t>
            </w:r>
            <w:r>
              <w:rPr>
                <w:rFonts w:hint="eastAsia" w:ascii="方正仿宋_GB2312" w:hAnsi="方正仿宋_GB2312" w:eastAsia="方正仿宋_GB2312" w:cs="方正仿宋_GB2312"/>
                <w:sz w:val="28"/>
                <w:szCs w:val="28"/>
                <w:lang w:val="en-US" w:eastAsia="zh-CN"/>
              </w:rPr>
              <w:t>覆盖市县两级医疗机构，资金来源于公立医院高质量发展示范项目专项资金。按照国家五级乙等互联互通标准，升级全民健康信息平台，强化数据采集、治理与共享能力，实现与自治区、国家全民健康系统及医保、民政、应急等部门系统互联互通。搭建医学检验、医学影像、心电诊断、病理诊断、远程会诊 “五大共享中心”，建设智慧 “三医” 运行评价系统，推动跨机构、跨区域诊疗信息交互与服务协同。项目建成后，市县两级医疗机构共享中心覆盖率达 80%，检查检验结果互认机构占比达 80%，为分级诊疗落地提供坚实数据支撑。</w:t>
            </w:r>
          </w:p>
          <w:p w14:paraId="12D16402">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智慧医院提质建设项目</w:t>
            </w:r>
            <w:r>
              <w:rPr>
                <w:rFonts w:hint="eastAsia" w:ascii="方正仿宋_GB2312" w:hAnsi="方正仿宋_GB2312" w:eastAsia="方正仿宋_GB2312" w:cs="方正仿宋_GB2312"/>
                <w:sz w:val="28"/>
                <w:szCs w:val="28"/>
                <w:lang w:val="en-US" w:eastAsia="zh-CN"/>
              </w:rPr>
              <w:t>：覆盖全市二级以上公立医院，分三阶段推进建设。第一阶段实现 20% 的二级以上公立医院提供网络预约、互联网支付、检验报告查询服务，11 县（区）人民医院及市妇幼保健院电子病历应用水平达 3 级、市人民医院及市藏医院达 4 级，智慧服务级别分别达 2 级和 3 级；第二阶段上述目标进度提升至 60%；第三阶段全面达成 100% 目标。重点升级 HIS、LIS、PACS 等核心系统，推广智能导诊、机器人配药送药、智慧病房等应用，三级公立医院建成运营管理信息系统，实现智慧医疗、智慧管理、智慧服务 “三位一体” 发展。</w:t>
            </w:r>
          </w:p>
          <w:p w14:paraId="785F8314">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高原特色健康大数据应用项目：</w:t>
            </w:r>
            <w:r>
              <w:rPr>
                <w:rFonts w:hint="eastAsia" w:ascii="方正仿宋_GB2312" w:hAnsi="方正仿宋_GB2312" w:eastAsia="方正仿宋_GB2312" w:cs="方正仿宋_GB2312"/>
                <w:sz w:val="28"/>
                <w:szCs w:val="28"/>
                <w:lang w:val="en-US" w:eastAsia="zh-CN"/>
              </w:rPr>
              <w:t>依托全民健康信息平台，资金来源于改善医疗服务行动专项资金。建立高原病（高原红细胞增多症、缺氧相关疾病）电子健康档案和预警系统，结合气象数据与健康指标开展高危人群提前干预；构建大骨节病、包虫病等地方病专题数据库，运用 AI 分析发病规律，为公共卫生决策提供依据。推进藏医药信息化标准化建设，建立藏药制剂数字化管理模块，开发藏汉双语 AI 辅助诊断系统和诊疗知识库，供基层医疗机构查询使用，促进藏西医协同诊疗。项目投用后，将实现高原特色疾病精准防控与藏医药智慧化传承创新。</w:t>
            </w:r>
          </w:p>
          <w:p w14:paraId="27DCEC9E">
            <w:pPr>
              <w:keepNext w:val="0"/>
              <w:keepLines w:val="0"/>
              <w:pageBreakBefore w:val="0"/>
              <w:widowControl/>
              <w:kinsoku w:val="0"/>
              <w:wordWrap/>
              <w:overflowPunct/>
              <w:topLinePunct w:val="0"/>
              <w:autoSpaceDE w:val="0"/>
              <w:autoSpaceDN w:val="0"/>
              <w:bidi w:val="0"/>
              <w:adjustRightInd w:val="0"/>
              <w:snapToGrid w:val="0"/>
              <w:spacing w:line="576" w:lineRule="exact"/>
              <w:ind w:firstLine="562" w:firstLineChars="200"/>
              <w:jc w:val="both"/>
              <w:textAlignment w:val="baseline"/>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bCs/>
                <w:sz w:val="28"/>
                <w:szCs w:val="28"/>
                <w:lang w:val="en-US" w:eastAsia="zh-CN"/>
              </w:rPr>
              <w:t>基层智慧医疗赋能项目：</w:t>
            </w:r>
            <w:r>
              <w:rPr>
                <w:rFonts w:hint="eastAsia" w:ascii="方正仿宋_GB2312" w:hAnsi="方正仿宋_GB2312" w:eastAsia="方正仿宋_GB2312" w:cs="方正仿宋_GB2312"/>
                <w:sz w:val="28"/>
                <w:szCs w:val="28"/>
                <w:lang w:val="en-US" w:eastAsia="zh-CN"/>
              </w:rPr>
              <w:t>面向乡镇卫生院、村卫生室等基层机构，通过远程医疗网络全覆盖与智能技术下沉，提升基层诊疗能力。搭建覆盖市县乡三级的远程会诊系统，实现援藏省市与本地诊疗团队协同会诊，缓解偏远地区 “看病远、看病难” 问题。推广人工智能辅助诊断系统，向基层输出辅助问诊、病历质检、合理用药等功能，提升基层医疗质量与诊疗效率。组建 2 支车载流动医院队伍，配备智慧诊疗设备，为偏远农牧区提供上门医疗服务。项目完成后，基层医疗机构诊疗规范性显著提升，城乡医疗服务差距进一步缩小。</w:t>
            </w:r>
          </w:p>
        </w:tc>
      </w:tr>
    </w:tbl>
    <w:p w14:paraId="794F667D">
      <w:pPr>
        <w:keepNext w:val="0"/>
        <w:keepLines w:val="0"/>
        <w:pageBreakBefore w:val="0"/>
        <w:widowControl/>
        <w:kinsoku w:val="0"/>
        <w:wordWrap/>
        <w:overflowPunct/>
        <w:topLinePunct w:val="0"/>
        <w:autoSpaceDE w:val="0"/>
        <w:autoSpaceDN w:val="0"/>
        <w:bidi w:val="0"/>
        <w:adjustRightInd w:val="0"/>
        <w:snapToGrid w:val="0"/>
        <w:spacing w:line="576" w:lineRule="exact"/>
        <w:ind w:firstLine="560" w:firstLineChars="200"/>
        <w:jc w:val="both"/>
        <w:textAlignment w:val="baseline"/>
        <w:rPr>
          <w:rFonts w:hint="eastAsia" w:ascii="仿宋" w:hAnsi="仿宋" w:eastAsia="仿宋" w:cs="仿宋"/>
          <w:sz w:val="28"/>
          <w:szCs w:val="28"/>
          <w:lang w:val="en-US" w:eastAsia="zh-CN"/>
        </w:rPr>
      </w:pPr>
    </w:p>
    <w:p w14:paraId="0CA75941">
      <w:pPr>
        <w:pStyle w:val="3"/>
        <w:pageBreakBefore w:val="0"/>
        <w:widowControl/>
        <w:numPr>
          <w:ilvl w:val="0"/>
          <w:numId w:val="4"/>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4" w:name="_Toc30998"/>
      <w:r>
        <w:rPr>
          <w:rFonts w:hint="default" w:ascii="方正楷体_GB2312" w:hAnsi="方正楷体_GB2312" w:eastAsia="方正楷体_GB2312" w:cs="方正楷体_GB2312"/>
          <w:b/>
          <w:bCs w:val="0"/>
          <w:sz w:val="32"/>
          <w:szCs w:val="32"/>
          <w:lang w:val="en-US" w:eastAsia="zh-CN"/>
        </w:rPr>
        <w:t>统筹发展和安全，防范化解卫生健康领域重大风险</w:t>
      </w:r>
      <w:bookmarkEnd w:id="14"/>
    </w:p>
    <w:p w14:paraId="7FC7218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健全卫生健康领域风险防控体系。</w:t>
      </w:r>
      <w:r>
        <w:rPr>
          <w:rFonts w:hint="eastAsia" w:ascii="方正仿宋_GB2312" w:hAnsi="方正仿宋_GB2312" w:eastAsia="方正仿宋_GB2312" w:cs="方正仿宋_GB2312"/>
          <w:sz w:val="32"/>
          <w:szCs w:val="32"/>
          <w:lang w:val="en-US" w:eastAsia="zh-CN"/>
        </w:rPr>
        <w:t>坚持底线思维，健全卫生健康领域风险隐患排查化解机制，常态化开展风险隐患排查整治，严防重大医疗安全事故、生物安全事故、血液安全事故、网络数据安全事故发生。健全生物安全风险防控和治理体系，提升实验室生物安全管理水平。加强医疗机构债务风险防控，规范医疗机构运营管理，推动医疗机构健康可持续发展。</w:t>
      </w:r>
    </w:p>
    <w:p w14:paraId="17BE5DC6">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持续推进平安医院建设。</w:t>
      </w:r>
      <w:r>
        <w:rPr>
          <w:rFonts w:hint="eastAsia" w:ascii="方正仿宋_GB2312" w:hAnsi="方正仿宋_GB2312" w:eastAsia="方正仿宋_GB2312" w:cs="方正仿宋_GB2312"/>
          <w:sz w:val="32"/>
          <w:szCs w:val="32"/>
          <w:lang w:val="en-US" w:eastAsia="zh-CN"/>
        </w:rPr>
        <w:t>完善医疗纠纷预防与处理机制，健全院内调解、人民调解、司法调解衔接联动工作体系。加强医院安全防范系统标准化建设，提升安保能力，依法严厉打击涉医违法犯罪行为，保障医务人员和患者合法权益。加强医患沟通，完善患者投诉处理机制，构建和谐医患关系，营造安全有序的医疗执业环境。</w:t>
      </w:r>
    </w:p>
    <w:p w14:paraId="23DB96A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加强法治建设和网络舆情处置。</w:t>
      </w:r>
      <w:r>
        <w:rPr>
          <w:rFonts w:hint="eastAsia" w:ascii="方正仿宋_GB2312" w:hAnsi="方正仿宋_GB2312" w:eastAsia="方正仿宋_GB2312" w:cs="方正仿宋_GB2312"/>
          <w:sz w:val="32"/>
          <w:szCs w:val="32"/>
          <w:lang w:val="en-US" w:eastAsia="zh-CN"/>
        </w:rPr>
        <w:t>推进卫生健康领域法治建设，深入开展法治宣传教育，提升依法行政、依法执业水平。健全网络舆情引导与处置机制，及时回应社会关切，妥善处置卫生健康领域网络舆情，营造良好舆论环境。</w:t>
      </w:r>
    </w:p>
    <w:p w14:paraId="42FF8720">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扎实做好重点传染病防控工作。</w:t>
      </w:r>
      <w:r>
        <w:rPr>
          <w:rFonts w:hint="eastAsia" w:ascii="方正仿宋_GB2312" w:hAnsi="方正仿宋_GB2312" w:eastAsia="方正仿宋_GB2312" w:cs="方正仿宋_GB2312"/>
          <w:sz w:val="32"/>
          <w:szCs w:val="32"/>
          <w:lang w:val="en-US" w:eastAsia="zh-CN"/>
        </w:rPr>
        <w:t>坚持多病共防，持续做好冬春季重点传染病、地方病防控工作，落实各项防控措施，严防疫情扩散蔓延，保障人民群众身体健康和生命安全，为经济社会发展营造健康安全稳定的环境。</w:t>
      </w:r>
    </w:p>
    <w:p w14:paraId="789532A5">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eastAsia" w:ascii="黑体" w:hAnsi="黑体" w:eastAsia="黑体" w:cs="黑体"/>
          <w:b w:val="0"/>
          <w:bCs/>
          <w:sz w:val="32"/>
          <w:szCs w:val="32"/>
          <w:lang w:val="en-US" w:eastAsia="zh-CN"/>
        </w:rPr>
      </w:pPr>
      <w:bookmarkStart w:id="15" w:name="_Toc24874"/>
      <w:r>
        <w:rPr>
          <w:rFonts w:hint="eastAsia" w:ascii="黑体" w:hAnsi="黑体" w:eastAsia="黑体" w:cs="黑体"/>
          <w:b w:val="0"/>
          <w:bCs/>
          <w:sz w:val="32"/>
          <w:szCs w:val="32"/>
          <w:lang w:val="en-US" w:eastAsia="zh-CN"/>
        </w:rPr>
        <w:t>保障措施</w:t>
      </w:r>
      <w:bookmarkEnd w:id="15"/>
    </w:p>
    <w:p w14:paraId="4933864E">
      <w:pPr>
        <w:pStyle w:val="3"/>
        <w:pageBreakBefore w:val="0"/>
        <w:widowControl/>
        <w:numPr>
          <w:ilvl w:val="0"/>
          <w:numId w:val="5"/>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6" w:name="_Toc23911"/>
      <w:r>
        <w:rPr>
          <w:rFonts w:hint="eastAsia" w:ascii="方正楷体_GB2312" w:hAnsi="方正楷体_GB2312" w:eastAsia="方正楷体_GB2312" w:cs="方正楷体_GB2312"/>
          <w:b/>
          <w:bCs w:val="0"/>
          <w:sz w:val="32"/>
          <w:szCs w:val="32"/>
          <w:lang w:val="en-US" w:eastAsia="zh-CN"/>
        </w:rPr>
        <w:t>强化组织领导，压实部门职责</w:t>
      </w:r>
      <w:bookmarkEnd w:id="16"/>
    </w:p>
    <w:p w14:paraId="6BACFC5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坚持党对卫生健康事业的全面领导，健全党委统一领导、党政齐抓共管、部门协同配合、社会广泛参与的工作格局。各级党委、政府要切实履行主体责任，将卫生健康事业发展纳入国民经济和社会发展总体规划、年度重点工作，同部署、同推进、同考核、同奖惩。卫生健康部门要发挥牵头抓总作用，统筹推进规划实施；发展改革、财政、人力资源社会保障、教育、医保、市场监管等部门要按照职责分工，发展改革部门负责项目审批与投资管理、财政负责资金保障与监管、人力资源社会保障部门负责人才队伍建设、教育部门负责人才培养与储备、科技部门负责科技创新与技术支撑、民政部门负责医养结合与社会服务衔接、医保部门负责医保政策衔接与支付保障、市场监管部门负责质量安全与市场监管。细化配套政策，密切协作配合，形成工作合力，确保规划确定的各项目标任务落地见效。</w:t>
      </w:r>
    </w:p>
    <w:p w14:paraId="35DD7D47">
      <w:pPr>
        <w:pStyle w:val="3"/>
        <w:pageBreakBefore w:val="0"/>
        <w:widowControl/>
        <w:numPr>
          <w:ilvl w:val="0"/>
          <w:numId w:val="5"/>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7" w:name="_Toc6392"/>
      <w:r>
        <w:rPr>
          <w:rFonts w:hint="eastAsia" w:ascii="方正楷体_GB2312" w:hAnsi="方正楷体_GB2312" w:eastAsia="方正楷体_GB2312" w:cs="方正楷体_GB2312"/>
          <w:b/>
          <w:bCs w:val="0"/>
          <w:sz w:val="32"/>
          <w:szCs w:val="32"/>
          <w:lang w:val="en-US" w:eastAsia="zh-CN"/>
        </w:rPr>
        <w:t>健全制度保障，强化法治支撑</w:t>
      </w:r>
      <w:bookmarkEnd w:id="17"/>
    </w:p>
    <w:p w14:paraId="715BA03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深入贯彻落实国家、自治区卫生健康领域法律法规，结合我市实际，制定完善配套规范性文件，补齐制度短板，为卫生健康事业发展提供坚实法治保障。持续深化 “放管服” 改革，优化行政审批流程，提升依法行政水平。健全卫生健康领域标准体系，推动各项工作标准化、规范化开展。完善医疗卫生行业综合监管制度，健全监管机制，创新监管方式，提升行业治理法治化、规范化水平。</w:t>
      </w:r>
    </w:p>
    <w:p w14:paraId="27965433">
      <w:pPr>
        <w:pStyle w:val="3"/>
        <w:pageBreakBefore w:val="0"/>
        <w:widowControl/>
        <w:numPr>
          <w:ilvl w:val="0"/>
          <w:numId w:val="5"/>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8" w:name="_Toc11353"/>
      <w:r>
        <w:rPr>
          <w:rFonts w:hint="eastAsia" w:ascii="方正楷体_GB2312" w:hAnsi="方正楷体_GB2312" w:eastAsia="方正楷体_GB2312" w:cs="方正楷体_GB2312"/>
          <w:b/>
          <w:bCs w:val="0"/>
          <w:sz w:val="32"/>
          <w:szCs w:val="32"/>
          <w:lang w:val="en-US" w:eastAsia="zh-CN"/>
        </w:rPr>
        <w:t>加大投入力度，强化资金保障</w:t>
      </w:r>
      <w:bookmarkEnd w:id="18"/>
    </w:p>
    <w:p w14:paraId="5A4ABB8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与经济社会发展水平相适应的政府卫生健康投入稳定增长长效机制，确保政府卫生支出占一般公共预算支出比重保持合理增长，足额落实人均基本公共卫生服务经费补助标准，持续健全基层公共卫生服务财力保障长效机制。优化财政支出结构，资金重点向公共卫生、基层医疗、藏医药发展、重点人群健康保障、人才队伍建设等关键领域和薄弱环节倾斜，提高资金使用效益。积极争取中央预算内投资、自治区专项资金支持，用好用足对口援藏资金、技术、人才帮扶资源。合理运用地方政府专项债券等金融工具，拓宽项目融资渠道。鼓励引导社会资本有序进入医疗卫生领域，构建政府主导、社会参与、多元投入的筹资格局。</w:t>
      </w:r>
    </w:p>
    <w:p w14:paraId="03423FEA">
      <w:pPr>
        <w:pStyle w:val="3"/>
        <w:pageBreakBefore w:val="0"/>
        <w:widowControl/>
        <w:numPr>
          <w:ilvl w:val="0"/>
          <w:numId w:val="5"/>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19" w:name="_Toc23336"/>
      <w:r>
        <w:rPr>
          <w:rFonts w:hint="eastAsia" w:ascii="方正楷体_GB2312" w:hAnsi="方正楷体_GB2312" w:eastAsia="方正楷体_GB2312" w:cs="方正楷体_GB2312"/>
          <w:b/>
          <w:bCs w:val="0"/>
          <w:sz w:val="32"/>
          <w:szCs w:val="32"/>
          <w:lang w:val="en-US" w:eastAsia="zh-CN"/>
        </w:rPr>
        <w:t>强化监测评估，严格考核问责</w:t>
      </w:r>
      <w:bookmarkEnd w:id="19"/>
    </w:p>
    <w:p w14:paraId="5E89A22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立健全规划实施动态监测、定期评估、动态调整机制，对规划确定的主要指标、重点任务、重大项目进展情况开展常态化动态监测。组织开展规划实施年度评估、中期评估和终期评估，全面掌握规划实施进展、成效和存在的问题。根据监测评估结果，及时调整优化规划目标、任务和政策措施，确保规划科学有效实施。</w:t>
      </w:r>
    </w:p>
    <w:p w14:paraId="61522C57">
      <w:pPr>
        <w:pStyle w:val="3"/>
        <w:pageBreakBefore w:val="0"/>
        <w:widowControl/>
        <w:numPr>
          <w:ilvl w:val="0"/>
          <w:numId w:val="5"/>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eastAsia" w:ascii="方正楷体_GB2312" w:hAnsi="方正楷体_GB2312" w:eastAsia="方正楷体_GB2312" w:cs="方正楷体_GB2312"/>
          <w:b/>
          <w:bCs w:val="0"/>
          <w:sz w:val="32"/>
          <w:szCs w:val="32"/>
          <w:lang w:val="en-US" w:eastAsia="zh-CN"/>
        </w:rPr>
      </w:pPr>
      <w:bookmarkStart w:id="20" w:name="_Toc8791"/>
      <w:r>
        <w:rPr>
          <w:rFonts w:hint="eastAsia" w:ascii="方正楷体_GB2312" w:hAnsi="方正楷体_GB2312" w:eastAsia="方正楷体_GB2312" w:cs="方正楷体_GB2312"/>
          <w:b/>
          <w:bCs w:val="0"/>
          <w:sz w:val="32"/>
          <w:szCs w:val="32"/>
          <w:lang w:val="en-US" w:eastAsia="zh-CN"/>
        </w:rPr>
        <w:t>营造良好氛围，凝聚社会合力</w:t>
      </w:r>
      <w:bookmarkEnd w:id="20"/>
    </w:p>
    <w:p w14:paraId="610EDF7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将宣传引导工作贯穿规划实施全过程，充分利用广播电视、报纸、新媒体等各类平台，全方位、多角度宣传解读规划的重要意义、目标任务、重点举措和实施成效，提升社会知晓率和认同感，引导全社会形成关心支持卫生健康事业发展的广泛共识。大力弘扬伟大抗疫精神和 “敬佑生命、救死扶伤、甘于奉献、大爱无疆” 的崇高职业精神，选树先进典型，增强卫生健康工作者职业荣誉感，增进全社会对卫生健康工作的理解和支持。积极鼓励引导社会组织、企事业单位、志愿者队伍和群众个人参与健康昌都建设，构建共建共治共享的卫生健康治理新格局。</w:t>
      </w:r>
    </w:p>
    <w:p w14:paraId="355B1E81">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eastAsia" w:ascii="黑体" w:hAnsi="黑体" w:eastAsia="黑体" w:cs="黑体"/>
          <w:b w:val="0"/>
          <w:bCs/>
          <w:sz w:val="32"/>
          <w:szCs w:val="32"/>
          <w:lang w:val="en-US" w:eastAsia="zh-CN"/>
        </w:rPr>
      </w:pPr>
      <w:bookmarkStart w:id="21" w:name="_Toc26275"/>
      <w:r>
        <w:rPr>
          <w:rFonts w:hint="eastAsia" w:ascii="黑体" w:hAnsi="黑体" w:eastAsia="黑体" w:cs="黑体"/>
          <w:b w:val="0"/>
          <w:bCs/>
          <w:sz w:val="32"/>
          <w:szCs w:val="32"/>
          <w:lang w:val="en-US" w:eastAsia="zh-CN"/>
        </w:rPr>
        <w:t>环境影响评价</w:t>
      </w:r>
      <w:bookmarkEnd w:id="21"/>
    </w:p>
    <w:p w14:paraId="0D134C90">
      <w:pPr>
        <w:pStyle w:val="3"/>
        <w:pageBreakBefore w:val="0"/>
        <w:widowControl/>
        <w:numPr>
          <w:ilvl w:val="0"/>
          <w:numId w:val="6"/>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22" w:name="_Toc20009"/>
      <w:r>
        <w:rPr>
          <w:rFonts w:hint="default" w:ascii="方正楷体_GB2312" w:hAnsi="方正楷体_GB2312" w:eastAsia="方正楷体_GB2312" w:cs="方正楷体_GB2312"/>
          <w:b/>
          <w:bCs w:val="0"/>
          <w:sz w:val="32"/>
          <w:szCs w:val="32"/>
          <w:lang w:val="en-US" w:eastAsia="zh-CN"/>
        </w:rPr>
        <w:t>评价总则</w:t>
      </w:r>
      <w:bookmarkEnd w:id="22"/>
    </w:p>
    <w:p w14:paraId="47C038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28"/>
          <w:szCs w:val="28"/>
          <w:lang w:val="en-US" w:eastAsia="zh-CN"/>
        </w:rPr>
      </w:pPr>
      <w:r>
        <w:rPr>
          <w:rFonts w:hint="eastAsia" w:ascii="方正仿宋_GB2312" w:hAnsi="方正仿宋_GB2312" w:eastAsia="方正仿宋_GB2312" w:cs="方正仿宋_GB2312"/>
          <w:sz w:val="32"/>
          <w:szCs w:val="32"/>
          <w:lang w:val="en-US" w:eastAsia="zh-CN"/>
        </w:rPr>
        <w:t>本评价旨在系统识别本规划实施过程中可能产生的环境影响，分析影响范围、程度和关键环节，提出针对性的预防、减缓、控制和修复措施，确保规划实施与生态环境保护相协调，推动卫生健康事业绿色低碳发展，筑牢国家生态安全屏障。评价依据《中华人民共和国环境保护法》《中华人民共和国水污染防治法》《医疗废物管理条例》《西藏自治区环境保护条例》等法律法规，以及国家、自治区、昌都市生态环境保护相关规划，评价范围覆盖昌都市全域，重点为规划涉及的各类医疗卫生设施建设与运营区域，时间范围与 “十五五” 规划周期一致。</w:t>
      </w:r>
      <w:bookmarkStart w:id="28" w:name="_GoBack"/>
      <w:bookmarkEnd w:id="28"/>
    </w:p>
    <w:p w14:paraId="13135AE1">
      <w:pPr>
        <w:pStyle w:val="3"/>
        <w:pageBreakBefore w:val="0"/>
        <w:widowControl/>
        <w:numPr>
          <w:ilvl w:val="0"/>
          <w:numId w:val="6"/>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23" w:name="_Toc13452"/>
      <w:r>
        <w:rPr>
          <w:rFonts w:hint="default" w:ascii="方正楷体_GB2312" w:hAnsi="方正楷体_GB2312" w:eastAsia="方正楷体_GB2312" w:cs="方正楷体_GB2312"/>
          <w:b/>
          <w:bCs w:val="0"/>
          <w:sz w:val="32"/>
          <w:szCs w:val="32"/>
          <w:lang w:val="en-US" w:eastAsia="zh-CN"/>
        </w:rPr>
        <w:t>环境现状分析</w:t>
      </w:r>
      <w:bookmarkEnd w:id="23"/>
    </w:p>
    <w:p w14:paraId="4603FE9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昌都市地处青藏高原，是国家生态安全屏障的重要组成部分，生态环境脆弱，生态系统自我修复能力较弱，区域生态环境总体保持稳定。区域内地表水、地下水、大气环境、土壤环境、声环境质量总体良好，但局部区域存在水土流失、草场退化等生态问题，城镇建成区存在少量生活污染、交通噪声等潜在环境风险。</w:t>
      </w:r>
    </w:p>
    <w:p w14:paraId="1A9B32F5">
      <w:pPr>
        <w:pStyle w:val="3"/>
        <w:pageBreakBefore w:val="0"/>
        <w:widowControl/>
        <w:numPr>
          <w:ilvl w:val="0"/>
          <w:numId w:val="6"/>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24" w:name="_Toc15346"/>
      <w:r>
        <w:rPr>
          <w:rFonts w:hint="default" w:ascii="方正楷体_GB2312" w:hAnsi="方正楷体_GB2312" w:eastAsia="方正楷体_GB2312" w:cs="方正楷体_GB2312"/>
          <w:b/>
          <w:bCs w:val="0"/>
          <w:sz w:val="32"/>
          <w:szCs w:val="32"/>
          <w:lang w:val="en-US" w:eastAsia="zh-CN"/>
        </w:rPr>
        <w:t>规划实施的环境影响分析</w:t>
      </w:r>
      <w:bookmarkEnd w:id="24"/>
    </w:p>
    <w:p w14:paraId="5F1CDCF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正面影响：</w:t>
      </w:r>
      <w:r>
        <w:rPr>
          <w:rFonts w:hint="eastAsia" w:ascii="方正仿宋_GB2312" w:hAnsi="方正仿宋_GB2312" w:eastAsia="方正仿宋_GB2312" w:cs="方正仿宋_GB2312"/>
          <w:sz w:val="32"/>
          <w:szCs w:val="32"/>
          <w:lang w:val="en-US" w:eastAsia="zh-CN"/>
        </w:rPr>
        <w:t>本规划坚持生态引领、绿色发展理念，将生态环境保护要求融入卫生健康事业发展全过程，推动医疗卫生机构绿色低碳转型，加强医疗污染物全流程规范化治理，有利于减少医疗服务对生态环境的不利影响。规划实施后，全市医疗卫生服务能力显著提升，群众健康素养水平持续提高，有利于推动全社会形成绿色健康生活方式。藏药材规范化种植基地建设，能够促进植被恢复，改善局部生态环境，实现生态保护与藏医药发展协同共进。</w:t>
      </w:r>
    </w:p>
    <w:p w14:paraId="422343D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潜在负面影响：</w:t>
      </w:r>
      <w:r>
        <w:rPr>
          <w:rFonts w:hint="eastAsia" w:ascii="方正仿宋_GB2312" w:hAnsi="方正仿宋_GB2312" w:eastAsia="方正仿宋_GB2312" w:cs="方正仿宋_GB2312"/>
          <w:sz w:val="32"/>
          <w:szCs w:val="32"/>
          <w:lang w:val="en-US" w:eastAsia="zh-CN"/>
        </w:rPr>
        <w:t>规划实施过程中，医疗卫生设施建设可能涉及土地征用、场地平整等工程活动，若施工过程中生态保护措施不到位，可能造成局部水土流失、植被破坏；医疗服务规模扩大后，医疗废水、医疗废物产生量将相应增长，若处理处置不当，可能对水环境、土壤环境造成污染；医疗机构锅炉运行、医疗设备运转、施工建设等可能产生废气、噪声污染；医疗化学品、医疗废物若储存、运输、处置不当，可能引发环境风险事件。上述潜在负面影响，均可通过采取科学有效的防控措施得到有效控制和减缓。</w:t>
      </w:r>
    </w:p>
    <w:p w14:paraId="6145E985">
      <w:pPr>
        <w:pStyle w:val="3"/>
        <w:pageBreakBefore w:val="0"/>
        <w:widowControl/>
        <w:numPr>
          <w:ilvl w:val="0"/>
          <w:numId w:val="6"/>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25" w:name="_Toc451"/>
      <w:r>
        <w:rPr>
          <w:rFonts w:hint="default" w:ascii="方正楷体_GB2312" w:hAnsi="方正楷体_GB2312" w:eastAsia="方正楷体_GB2312" w:cs="方正楷体_GB2312"/>
          <w:b/>
          <w:bCs w:val="0"/>
          <w:sz w:val="32"/>
          <w:szCs w:val="32"/>
          <w:lang w:val="en-US" w:eastAsia="zh-CN"/>
        </w:rPr>
        <w:t>环境保护措施</w:t>
      </w:r>
      <w:bookmarkEnd w:id="25"/>
    </w:p>
    <w:p w14:paraId="4D595406">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生态保护措施。</w:t>
      </w:r>
      <w:r>
        <w:rPr>
          <w:rFonts w:hint="eastAsia" w:ascii="方正仿宋_GB2312" w:hAnsi="方正仿宋_GB2312" w:eastAsia="方正仿宋_GB2312" w:cs="方正仿宋_GB2312"/>
          <w:sz w:val="32"/>
          <w:szCs w:val="32"/>
          <w:lang w:val="en-US" w:eastAsia="zh-CN"/>
        </w:rPr>
        <w:t>医疗卫生设施建设严格避开生态保护红线、永久基本农田、饮用水水源保护区等生态敏感区域，施工过程中严格落实水土保持、植被保护措施，工程完工后及时开展生态修复，优先选用本土植物恢复植被。科学规划藏药材种植规模和区域，推广生态种植技术，保护草场生态环境，严防过度种植导致生态退化。</w:t>
      </w:r>
    </w:p>
    <w:p w14:paraId="03F674D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水污染防治措施。</w:t>
      </w:r>
      <w:r>
        <w:rPr>
          <w:rFonts w:hint="eastAsia" w:ascii="方正仿宋_GB2312" w:hAnsi="方正仿宋_GB2312" w:eastAsia="方正仿宋_GB2312" w:cs="方正仿宋_GB2312"/>
          <w:sz w:val="32"/>
          <w:szCs w:val="32"/>
          <w:lang w:val="en-US" w:eastAsia="zh-CN"/>
        </w:rPr>
        <w:t>建设完善医疗机构污水处理设施，根据废水水质特点优化处理工艺，确保医疗废水经处理后稳定达标排放。加强污水处理设施运行维护和水质监测，完善防渗措施，严防污水渗漏污染地下水和土壤。推广节水技术和器具，推进中水回用，提高水资源循环利用效率。</w:t>
      </w:r>
    </w:p>
    <w:p w14:paraId="0EBA891A">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大气污染防治措施。</w:t>
      </w:r>
      <w:r>
        <w:rPr>
          <w:rFonts w:hint="eastAsia" w:ascii="方正仿宋_GB2312" w:hAnsi="方正仿宋_GB2312" w:eastAsia="方正仿宋_GB2312" w:cs="方正仿宋_GB2312"/>
          <w:sz w:val="32"/>
          <w:szCs w:val="32"/>
          <w:lang w:val="en-US" w:eastAsia="zh-CN"/>
        </w:rPr>
        <w:t>推动医疗机构清洁能源替代，推广使用太阳能、天然气等清洁能源，减少化石能源消耗。医疗机构锅炉配备高效废气治理设施，确保废气达标排放。针对检验科、消毒供应中心等产生挥发性有机物的场所，安装专业废气处理装置，严禁无组织逸散。加强施工期扬尘控制，落实扬尘治理各项措施。</w:t>
      </w:r>
    </w:p>
    <w:p w14:paraId="78C10EFC">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固体废物处置措施。</w:t>
      </w:r>
      <w:r>
        <w:rPr>
          <w:rFonts w:hint="eastAsia" w:ascii="方正仿宋_GB2312" w:hAnsi="方正仿宋_GB2312" w:eastAsia="方正仿宋_GB2312" w:cs="方正仿宋_GB2312"/>
          <w:sz w:val="32"/>
          <w:szCs w:val="32"/>
          <w:lang w:val="en-US" w:eastAsia="zh-CN"/>
        </w:rPr>
        <w:t>健全医疗废物分类收集、贮存、转运、处置全过程管理制度，配备符合标准的暂存设施和转运工具，确保医疗废物 100% 规范集中无害化处置。推广使用可循环、可降解医疗耗材，减少医疗废物产生量。推进生活垃圾分类处理，提高资源回收利用率。</w:t>
      </w:r>
    </w:p>
    <w:p w14:paraId="63FC014D">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噪声污染控制措施。</w:t>
      </w:r>
      <w:r>
        <w:rPr>
          <w:rFonts w:hint="eastAsia" w:ascii="方正仿宋_GB2312" w:hAnsi="方正仿宋_GB2312" w:eastAsia="方正仿宋_GB2312" w:cs="方正仿宋_GB2312"/>
          <w:sz w:val="32"/>
          <w:szCs w:val="32"/>
          <w:lang w:val="en-US" w:eastAsia="zh-CN"/>
        </w:rPr>
        <w:t>合理布局医疗设备机房、手术室等噪声源区域，采取隔声、减振、降噪等技术措施，降低噪声排放。加强施工期噪声管控，合理安排施工时间，选用低噪声施工设备。加强救护车等移动声源管理，严控鸣笛次数和行驶路线，确保噪声排放符合国家标准。</w:t>
      </w:r>
    </w:p>
    <w:p w14:paraId="49114AD9">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环境风险防范措施。</w:t>
      </w:r>
      <w:r>
        <w:rPr>
          <w:rFonts w:hint="eastAsia" w:ascii="方正仿宋_GB2312" w:hAnsi="方正仿宋_GB2312" w:eastAsia="方正仿宋_GB2312" w:cs="方正仿宋_GB2312"/>
          <w:sz w:val="32"/>
          <w:szCs w:val="32"/>
          <w:lang w:val="en-US" w:eastAsia="zh-CN"/>
        </w:rPr>
        <w:t>制定完善环境风险应急预案，针对医疗废物泄漏、医疗废水超标排放、化学品泄漏等环境风险事件，明确应急处置流程和措施，定期开展应急演练。加强医疗化学品、医疗废物全流程规范化管理，完善防渗、防泄漏措施，定期开展环境风险隐患排查整治，严防环境风险事件发生。</w:t>
      </w:r>
    </w:p>
    <w:p w14:paraId="7EF6282F">
      <w:pPr>
        <w:pStyle w:val="3"/>
        <w:pageBreakBefore w:val="0"/>
        <w:widowControl/>
        <w:numPr>
          <w:ilvl w:val="0"/>
          <w:numId w:val="6"/>
        </w:numPr>
        <w:kinsoku w:val="0"/>
        <w:wordWrap/>
        <w:overflowPunct/>
        <w:topLinePunct w:val="0"/>
        <w:autoSpaceDE w:val="0"/>
        <w:autoSpaceDN w:val="0"/>
        <w:bidi w:val="0"/>
        <w:adjustRightInd w:val="0"/>
        <w:snapToGrid w:val="0"/>
        <w:spacing w:before="0" w:beforeLines="0" w:after="0" w:afterLines="0" w:line="576" w:lineRule="exact"/>
        <w:ind w:left="0" w:leftChars="0" w:firstLine="420" w:firstLineChars="0"/>
        <w:jc w:val="both"/>
        <w:textAlignment w:val="baseline"/>
        <w:rPr>
          <w:rFonts w:hint="default" w:ascii="方正楷体_GB2312" w:hAnsi="方正楷体_GB2312" w:eastAsia="方正楷体_GB2312" w:cs="方正楷体_GB2312"/>
          <w:b/>
          <w:bCs w:val="0"/>
          <w:sz w:val="32"/>
          <w:szCs w:val="32"/>
          <w:lang w:val="en-US" w:eastAsia="zh-CN"/>
        </w:rPr>
      </w:pPr>
      <w:bookmarkStart w:id="26" w:name="_Toc14648"/>
      <w:r>
        <w:rPr>
          <w:rFonts w:hint="default" w:ascii="方正楷体_GB2312" w:hAnsi="方正楷体_GB2312" w:eastAsia="方正楷体_GB2312" w:cs="方正楷体_GB2312"/>
          <w:b/>
          <w:bCs w:val="0"/>
          <w:sz w:val="32"/>
          <w:szCs w:val="32"/>
          <w:lang w:val="en-US" w:eastAsia="zh-CN"/>
        </w:rPr>
        <w:t>评价结论</w:t>
      </w:r>
      <w:bookmarkEnd w:id="26"/>
    </w:p>
    <w:p w14:paraId="119C416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规划符合国家、自治区生态环境保护相关法律法规和规划要求，与昌都市生态环境保护规划相协调。规划实施过程中产生的潜在环境影响，通过采取科学有效的污染防治、生态保护和风险防范措施，能够得到有效控制和减缓，环境影响总体可控。从生态环境保护角度分析，本规划的实施具有环境合理性和可行性。规划实施过程中，将严格落实各项生态环境保护措施，持续加强环境监测与监管，推动卫生健康事业高质量发展与生态环境高水平保护协同共进。</w:t>
      </w:r>
    </w:p>
    <w:p w14:paraId="187BA38B">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576" w:lineRule="exact"/>
        <w:jc w:val="both"/>
        <w:textAlignment w:val="baseline"/>
        <w:rPr>
          <w:rFonts w:hint="eastAsia" w:ascii="黑体" w:hAnsi="黑体" w:eastAsia="黑体" w:cs="黑体"/>
          <w:b w:val="0"/>
          <w:bCs/>
          <w:sz w:val="32"/>
          <w:szCs w:val="32"/>
          <w:lang w:val="en-US" w:eastAsia="zh-CN"/>
        </w:rPr>
      </w:pPr>
      <w:bookmarkStart w:id="27" w:name="_Toc24911"/>
      <w:r>
        <w:rPr>
          <w:rFonts w:hint="eastAsia" w:ascii="黑体" w:hAnsi="黑体" w:eastAsia="黑体" w:cs="黑体"/>
          <w:b w:val="0"/>
          <w:bCs/>
          <w:sz w:val="32"/>
          <w:szCs w:val="32"/>
          <w:lang w:val="en-US" w:eastAsia="zh-CN"/>
        </w:rPr>
        <w:t>结语</w:t>
      </w:r>
      <w:bookmarkEnd w:id="27"/>
    </w:p>
    <w:p w14:paraId="530BC01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“十五五” 时期，是昌都市卫生健康事业高质量发展的关键阶段，使命光荣、责任重大。全市各级各部门要深刻认识推进健康昌都建设的重大意义，切实把思想和行动统一到市委、市政府的决策部署上来，凝心聚力、锐意进取、真抓实干，以钉钉子精神推动本规划确定的各项目标任务落地见效，奋力谱写昌都市卫生健康事业高质量发展新篇章，为保障全市各族人民生命健康、推进昌都长治久安和高质量发展作出新的更大贡献！</w:t>
      </w:r>
    </w:p>
    <w:sectPr>
      <w:footerReference r:id="rId6" w:type="default"/>
      <w:pgSz w:w="11906" w:h="16838"/>
      <w:pgMar w:top="1440" w:right="1474" w:bottom="1440"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E5E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C92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71B4D">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71B4D">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EE393"/>
    <w:multiLevelType w:val="singleLevel"/>
    <w:tmpl w:val="9B1EE393"/>
    <w:lvl w:ilvl="0" w:tentative="0">
      <w:start w:val="1"/>
      <w:numFmt w:val="chineseCounting"/>
      <w:suff w:val="nothing"/>
      <w:lvlText w:val="（%1）"/>
      <w:lvlJc w:val="left"/>
      <w:pPr>
        <w:ind w:left="0" w:firstLine="420"/>
      </w:pPr>
      <w:rPr>
        <w:rFonts w:hint="eastAsia"/>
      </w:rPr>
    </w:lvl>
  </w:abstractNum>
  <w:abstractNum w:abstractNumId="1">
    <w:nsid w:val="C75A312A"/>
    <w:multiLevelType w:val="singleLevel"/>
    <w:tmpl w:val="C75A312A"/>
    <w:lvl w:ilvl="0" w:tentative="0">
      <w:start w:val="1"/>
      <w:numFmt w:val="chineseCounting"/>
      <w:suff w:val="nothing"/>
      <w:lvlText w:val="（%1）"/>
      <w:lvlJc w:val="left"/>
      <w:pPr>
        <w:ind w:left="0" w:firstLine="420"/>
      </w:pPr>
      <w:rPr>
        <w:rFonts w:hint="eastAsia"/>
      </w:rPr>
    </w:lvl>
  </w:abstractNum>
  <w:abstractNum w:abstractNumId="2">
    <w:nsid w:val="D40D5DCB"/>
    <w:multiLevelType w:val="singleLevel"/>
    <w:tmpl w:val="D40D5DCB"/>
    <w:lvl w:ilvl="0" w:tentative="0">
      <w:start w:val="1"/>
      <w:numFmt w:val="chineseCounting"/>
      <w:suff w:val="nothing"/>
      <w:lvlText w:val="（%1）"/>
      <w:lvlJc w:val="left"/>
      <w:pPr>
        <w:ind w:left="0" w:firstLine="420"/>
      </w:pPr>
      <w:rPr>
        <w:rFonts w:hint="eastAsia"/>
      </w:rPr>
    </w:lvl>
  </w:abstractNum>
  <w:abstractNum w:abstractNumId="3">
    <w:nsid w:val="4C70A759"/>
    <w:multiLevelType w:val="singleLevel"/>
    <w:tmpl w:val="4C70A759"/>
    <w:lvl w:ilvl="0" w:tentative="0">
      <w:start w:val="1"/>
      <w:numFmt w:val="chineseCounting"/>
      <w:suff w:val="nothing"/>
      <w:lvlText w:val="（%1）"/>
      <w:lvlJc w:val="left"/>
      <w:pPr>
        <w:ind w:left="0" w:firstLine="420"/>
      </w:pPr>
      <w:rPr>
        <w:rFonts w:hint="eastAsia"/>
      </w:rPr>
    </w:lvl>
  </w:abstractNum>
  <w:abstractNum w:abstractNumId="4">
    <w:nsid w:val="73BC2E51"/>
    <w:multiLevelType w:val="singleLevel"/>
    <w:tmpl w:val="73BC2E51"/>
    <w:lvl w:ilvl="0" w:tentative="0">
      <w:start w:val="1"/>
      <w:numFmt w:val="chineseCounting"/>
      <w:suff w:val="nothing"/>
      <w:lvlText w:val="（%1）"/>
      <w:lvlJc w:val="left"/>
      <w:pPr>
        <w:ind w:left="0" w:firstLine="420"/>
      </w:pPr>
      <w:rPr>
        <w:rFonts w:hint="eastAsia"/>
      </w:rPr>
    </w:lvl>
  </w:abstractNum>
  <w:abstractNum w:abstractNumId="5">
    <w:nsid w:val="7FE138F3"/>
    <w:multiLevelType w:val="singleLevel"/>
    <w:tmpl w:val="7FE138F3"/>
    <w:lvl w:ilvl="0" w:tentative="0">
      <w:start w:val="1"/>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12EC"/>
    <w:rsid w:val="00F42E75"/>
    <w:rsid w:val="01D00E28"/>
    <w:rsid w:val="023F0464"/>
    <w:rsid w:val="023F1FBE"/>
    <w:rsid w:val="03CC1413"/>
    <w:rsid w:val="04FF008F"/>
    <w:rsid w:val="095056FC"/>
    <w:rsid w:val="0B251E56"/>
    <w:rsid w:val="0CCB6EB3"/>
    <w:rsid w:val="14C955C4"/>
    <w:rsid w:val="14F9401A"/>
    <w:rsid w:val="15E84838"/>
    <w:rsid w:val="16013A95"/>
    <w:rsid w:val="17003DC2"/>
    <w:rsid w:val="17797BF6"/>
    <w:rsid w:val="18B55378"/>
    <w:rsid w:val="196C1271"/>
    <w:rsid w:val="19D379B8"/>
    <w:rsid w:val="1BA56D73"/>
    <w:rsid w:val="1DB2279A"/>
    <w:rsid w:val="1DBB51BD"/>
    <w:rsid w:val="207E61A3"/>
    <w:rsid w:val="20AC2234"/>
    <w:rsid w:val="24EC7B7F"/>
    <w:rsid w:val="257F27A2"/>
    <w:rsid w:val="25DE692A"/>
    <w:rsid w:val="26012941"/>
    <w:rsid w:val="272C026C"/>
    <w:rsid w:val="285C0CE3"/>
    <w:rsid w:val="28D5095B"/>
    <w:rsid w:val="2B017389"/>
    <w:rsid w:val="2B074451"/>
    <w:rsid w:val="2B1630E6"/>
    <w:rsid w:val="31F844BD"/>
    <w:rsid w:val="34106AA4"/>
    <w:rsid w:val="37396EA5"/>
    <w:rsid w:val="3EE37DED"/>
    <w:rsid w:val="3F900B03"/>
    <w:rsid w:val="3FE11807"/>
    <w:rsid w:val="40AB0497"/>
    <w:rsid w:val="42AC5F81"/>
    <w:rsid w:val="435809EA"/>
    <w:rsid w:val="45CD1D5C"/>
    <w:rsid w:val="45D466E2"/>
    <w:rsid w:val="47613FA5"/>
    <w:rsid w:val="485B6C46"/>
    <w:rsid w:val="486B46CE"/>
    <w:rsid w:val="4C1C7E59"/>
    <w:rsid w:val="4C83154F"/>
    <w:rsid w:val="4E8D742E"/>
    <w:rsid w:val="4FC9750A"/>
    <w:rsid w:val="50B278BE"/>
    <w:rsid w:val="51E67581"/>
    <w:rsid w:val="52BE3D79"/>
    <w:rsid w:val="52FE3AE3"/>
    <w:rsid w:val="5347347F"/>
    <w:rsid w:val="54882780"/>
    <w:rsid w:val="574C257C"/>
    <w:rsid w:val="57DA7B88"/>
    <w:rsid w:val="582E7E1E"/>
    <w:rsid w:val="59B87DD5"/>
    <w:rsid w:val="5A4C3CF0"/>
    <w:rsid w:val="5AE34774"/>
    <w:rsid w:val="5C321615"/>
    <w:rsid w:val="5EA70489"/>
    <w:rsid w:val="5F4B136B"/>
    <w:rsid w:val="5F5D46FD"/>
    <w:rsid w:val="60C84715"/>
    <w:rsid w:val="624446B9"/>
    <w:rsid w:val="66BF7E1D"/>
    <w:rsid w:val="671A2875"/>
    <w:rsid w:val="68A76C8B"/>
    <w:rsid w:val="68C45804"/>
    <w:rsid w:val="692B5070"/>
    <w:rsid w:val="69923ACD"/>
    <w:rsid w:val="69ED371C"/>
    <w:rsid w:val="6C445178"/>
    <w:rsid w:val="6F0224D3"/>
    <w:rsid w:val="6FDB29BF"/>
    <w:rsid w:val="70255A96"/>
    <w:rsid w:val="705F1F9B"/>
    <w:rsid w:val="70911E6E"/>
    <w:rsid w:val="711B76F1"/>
    <w:rsid w:val="7531105B"/>
    <w:rsid w:val="797D616D"/>
    <w:rsid w:val="79A454A8"/>
    <w:rsid w:val="79DB3071"/>
    <w:rsid w:val="7B1A561B"/>
    <w:rsid w:val="7B5B0730"/>
    <w:rsid w:val="7FB03E1B"/>
    <w:rsid w:val="F7F9A431"/>
    <w:rsid w:val="F9DF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semiHidden/>
    <w:unhideWhenUsed/>
    <w:qFormat/>
    <w:uiPriority w:val="99"/>
    <w:pPr>
      <w:spacing w:line="150" w:lineRule="atLeast"/>
      <w:ind w:firstLine="420" w:firstLineChars="200"/>
      <w:textAlignment w:val="baseline"/>
    </w:pPr>
  </w:style>
  <w:style w:type="paragraph" w:styleId="6">
    <w:name w:val="toc 3"/>
    <w:basedOn w:val="1"/>
    <w:next w:val="1"/>
    <w:semiHidden/>
    <w:unhideWhenUsed/>
    <w:qFormat/>
    <w:uiPriority w:val="39"/>
    <w:pPr>
      <w:ind w:left="840" w:leftChars="400"/>
    </w:pPr>
  </w:style>
  <w:style w:type="paragraph" w:styleId="7">
    <w:name w:val="footer"/>
    <w:basedOn w:val="1"/>
    <w:link w:val="20"/>
    <w:unhideWhenUsed/>
    <w:qFormat/>
    <w:uiPriority w:val="99"/>
    <w:pPr>
      <w:tabs>
        <w:tab w:val="center" w:pos="4153"/>
        <w:tab w:val="right" w:pos="8306"/>
      </w:tabs>
      <w:snapToGrid w:val="0"/>
      <w:jc w:val="left"/>
    </w:pPr>
    <w:rPr>
      <w:sz w:val="18"/>
    </w:rPr>
  </w:style>
  <w:style w:type="paragraph" w:styleId="8">
    <w:name w:val="header"/>
    <w:basedOn w:val="1"/>
    <w:link w:val="1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semiHidden/>
    <w:unhideWhenUsed/>
    <w:qFormat/>
    <w:uiPriority w:val="99"/>
    <w:pPr>
      <w:spacing w:line="360" w:lineRule="auto"/>
    </w:pPr>
    <w:rPr>
      <w:sz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paragraph" w:customStyle="1" w:styleId="17">
    <w:name w:val="封面2标题"/>
    <w:qFormat/>
    <w:uiPriority w:val="99"/>
    <w:pPr>
      <w:widowControl w:val="0"/>
      <w:snapToGrid w:val="0"/>
      <w:spacing w:line="360" w:lineRule="auto"/>
      <w:jc w:val="center"/>
    </w:pPr>
    <w:rPr>
      <w:rFonts w:ascii="隶书" w:hAnsi="隶书" w:eastAsia="隶书" w:cs="Times New Roman"/>
      <w:b/>
      <w:snapToGrid w:val="0"/>
      <w:sz w:val="44"/>
      <w:lang w:val="en-US" w:eastAsia="zh-CN" w:bidi="ar-SA"/>
    </w:rPr>
  </w:style>
  <w:style w:type="character" w:customStyle="1" w:styleId="18">
    <w:name w:val="font61"/>
    <w:basedOn w:val="15"/>
    <w:qFormat/>
    <w:uiPriority w:val="0"/>
    <w:rPr>
      <w:rFonts w:hint="eastAsia" w:ascii="仿宋" w:hAnsi="仿宋" w:eastAsia="仿宋" w:cs="仿宋"/>
      <w:color w:val="000000"/>
      <w:sz w:val="24"/>
      <w:szCs w:val="24"/>
      <w:u w:val="none"/>
    </w:rPr>
  </w:style>
  <w:style w:type="character" w:customStyle="1" w:styleId="19">
    <w:name w:val="页眉 字符"/>
    <w:basedOn w:val="15"/>
    <w:link w:val="8"/>
    <w:qFormat/>
    <w:uiPriority w:val="99"/>
    <w:rPr>
      <w:rFonts w:asciiTheme="minorHAnsi" w:hAnsiTheme="minorHAnsi" w:eastAsiaTheme="minorEastAsia" w:cstheme="minorBidi"/>
      <w:sz w:val="18"/>
    </w:rPr>
  </w:style>
  <w:style w:type="character" w:customStyle="1" w:styleId="20">
    <w:name w:val="页脚 字符"/>
    <w:basedOn w:val="15"/>
    <w:link w:val="7"/>
    <w:qFormat/>
    <w:uiPriority w:val="99"/>
    <w:rPr>
      <w:rFonts w:asciiTheme="minorHAnsi" w:hAnsiTheme="minorHAnsi" w:eastAsiaTheme="minorEastAsia" w:cstheme="minorBidi"/>
      <w:sz w:val="18"/>
    </w:rPr>
  </w:style>
  <w:style w:type="character" w:customStyle="1" w:styleId="21">
    <w:name w:val="font31"/>
    <w:basedOn w:val="15"/>
    <w:qFormat/>
    <w:uiPriority w:val="0"/>
    <w:rPr>
      <w:rFonts w:hint="default" w:ascii="Times New Roman" w:hAnsi="Times New Roman" w:cs="Times New Roman"/>
      <w:color w:val="000000"/>
      <w:sz w:val="21"/>
      <w:szCs w:val="21"/>
      <w:u w:val="none"/>
    </w:rPr>
  </w:style>
  <w:style w:type="character" w:customStyle="1" w:styleId="22">
    <w:name w:val="font21"/>
    <w:basedOn w:val="1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583eb5f-5d55-48aa-8dcf-0df0c693c2da}"/>
        <w:style w:val=""/>
        <w:category>
          <w:name w:val="常规"/>
          <w:gallery w:val="placeholder"/>
        </w:category>
        <w:types>
          <w:type w:val="bbPlcHdr"/>
        </w:types>
        <w:behaviors>
          <w:behavior w:val="content"/>
        </w:behaviors>
        <w:description w:val=""/>
        <w:guid w:val="{2583eb5f-5d55-48aa-8dcf-0df0c693c2da}"/>
      </w:docPartPr>
      <w:docPartBody>
        <w:p w14:paraId="522E6A18">
          <w:r>
            <w:rPr>
              <w:color w:val="808080"/>
            </w:rPr>
            <w:t>单击此处输入文字。</w:t>
          </w:r>
        </w:p>
      </w:docPartBody>
    </w:docPart>
    <w:docPart>
      <w:docPartPr>
        <w:name w:val="{da514a7c-6393-4296-ba0b-0ac4f79e9a9d}"/>
        <w:style w:val=""/>
        <w:category>
          <w:name w:val="常规"/>
          <w:gallery w:val="placeholder"/>
        </w:category>
        <w:types>
          <w:type w:val="bbPlcHdr"/>
        </w:types>
        <w:behaviors>
          <w:behavior w:val="content"/>
        </w:behaviors>
        <w:description w:val=""/>
        <w:guid w:val="{da514a7c-6393-4296-ba0b-0ac4f79e9a9d}"/>
      </w:docPartPr>
      <w:docPartBody>
        <w:p w14:paraId="4DE5486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蓝色线条封面.docx"/>
      <sectRole val="1"/>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7507345f-02b5-4801-8686-9e24ca92e438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4DBC57B9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0d3018c3-4ab8-479a-b06b-e5a9feb0cb07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3A0B9095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fa982684-3c7a-4311-841d-56d731b9b84c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4F7C4E1E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1ee64d9e-d8dd-4041-97c1-7b3db8a33890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6A331785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bfe05bb0-958a-4c05-b303-1883cf1de636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3753F778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e3f9719f-4690-45ab-9eb2-0660d0d26dad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69AE4F99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5bbbc293-0fce-4c20-ac88-3b4582969903</errorID>
      <errorWord xmlns="http://schemas.wps.cn/vas-ai-hub/contract-review">“十四五” 时期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“十四五”时期</item>
      </candidateList>
      <explain xmlns="http://schemas.wps.cn/vas-ai-hub/contract-review">词汇““十四五”时期”在特定场景下为固定表述形式，请确认此处的““十四五” 时期”是否存在不当。</explain>
      <paraID xmlns="http://schemas.wps.cn/vas-ai-hub/contract-review">40394DC2</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249f8e44-1659-45fe-9d9a-6dc3062e3b46</errorID>
      <errorWord xmlns="http://schemas.wps.cn/vas-ai-hub/contract-review">“十五五” 时期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“十五五”时期</item>
      </candidateList>
      <explain xmlns="http://schemas.wps.cn/vas-ai-hub/contract-review">词汇““十五五”时期”在特定场景下为固定表述形式，请确认此处的““十五五” 时期”是否存在不当。</explain>
      <paraID xmlns="http://schemas.wps.cn/vas-ai-hub/contract-review">79EA36BE</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a78f5ebc-d2ff-46f5-af6c-0d08d3516e1b</errorID>
      <errorWord xmlns="http://schemas.wps.cn/vas-ai-hub/contract-review">“十四五” 时期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“十四五”时期</item>
      </candidateList>
      <explain xmlns="http://schemas.wps.cn/vas-ai-hub/contract-review">词汇““十四五”时期”在特定场景下为固定表述形式，请确认此处的““十四五” 时期”是否存在不当。</explain>
      <paraID xmlns="http://schemas.wps.cn/vas-ai-hub/contract-review">49C200FA</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7a8ff488-d934-4920-965d-d3833dd9ec3b</errorID>
      <errorWord xmlns="http://schemas.wps.cn/vas-ai-hub/contract-review">“十四五” 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“十四五”规划</item>
      </candidateList>
      <explain xmlns="http://schemas.wps.cn/vas-ai-hub/contract-review">词汇““十四五”规划”在特定场景下为固定表述形式，请确认此处的““十四五” 规划”是否存在不当。</explain>
      <paraID xmlns="http://schemas.wps.cn/vas-ai-hub/contract-review">49C200FA</paraID>
      <start xmlns="http://schemas.wps.cn/vas-ai-hub/contract-review">83</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1d3244e5-4d9d-4392-81a8-1933e4906155</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的转变。</item>
      </candidateList>
      <explain xmlns="http://schemas.wps.cn/vas-ai-hub/contract-review"/>
      <paraID xmlns="http://schemas.wps.cn/vas-ai-hub/contract-review">50386DE6</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5baa2dcb-5051-4dcf-b38b-4fb7fe459352</errorID>
      <errorWord xmlns="http://schemas.wps.cn/vas-ai-hub/contract-review">“十四五” 时期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“十四五”时期</item>
      </candidateList>
      <explain xmlns="http://schemas.wps.cn/vas-ai-hub/contract-review">词汇““十四五”时期”在特定场景下为固定表述形式，请确认此处的““十四五” 时期”是否存在不当。</explain>
      <paraID xmlns="http://schemas.wps.cn/vas-ai-hub/contract-review">50386DE6</paraID>
      <start xmlns="http://schemas.wps.cn/vas-ai-hub/contract-review">78</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f8cadf1d-e1e6-4819-8f73-7bb2c4ec2c17</errorID>
      <errorWord xmlns="http://schemas.wps.cn/vas-ai-hub/contract-review">渗透</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渗透到</item>
      </candidateList>
      <explain xmlns="http://schemas.wps.cn/vas-ai-hub/contract-review"/>
      <paraID xmlns="http://schemas.wps.cn/vas-ai-hub/contract-review">4852A8CE</paraID>
      <start xmlns="http://schemas.wps.cn/vas-ai-hub/contract-review">102</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9d7e8c7c-bb51-42ef-99af-f37a81a6a2d4</errorID>
      <errorWord xmlns="http://schemas.wps.cn/vas-ai-hub/contract-review">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院等</item>
      </candidateList>
      <explain xmlns="http://schemas.wps.cn/vas-ai-hub/contract-review"/>
      <paraID xmlns="http://schemas.wps.cn/vas-ai-hub/contract-review">6CBB1BFA</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931040d7-56fd-472f-8251-2ee7d6bca487</errorID>
      <errorWord xmlns="http://schemas.wps.cn/vas-ai-hub/contract-review">包虫病</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棘球蚴病</item>
      </candidateList>
      <explain xmlns="http://schemas.wps.cn/vas-ai-hub/contract-review">医学名词[包虫病]为不规范表述或旧称，其规范书面表述为[棘球蚴病]。</explain>
      <paraID xmlns="http://schemas.wps.cn/vas-ai-hub/contract-review">1FA3F49C</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cd5113cc-dacd-4329-a44a-72924e76a26c</errorID>
      <errorWord xmlns="http://schemas.wps.cn/vas-ai-hub/contract-review">人次</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人数</item>
      </candidateList>
      <explain xmlns="http://schemas.wps.cn/vas-ai-hub/contract-review"/>
      <paraID xmlns="http://schemas.wps.cn/vas-ai-hub/contract-review">56828785</paraID>
      <start xmlns="http://schemas.wps.cn/vas-ai-hub/contract-review">122</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92f909c1-681c-4d7d-b537-9d1c6bfbcae9</errorID>
      <errorWord xmlns="http://schemas.wps.cn/vas-ai-hub/contract-review">人次</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人</item>
      </candidateList>
      <explain xmlns="http://schemas.wps.cn/vas-ai-hub/contract-review"/>
      <paraID xmlns="http://schemas.wps.cn/vas-ai-hub/contract-review">56828785</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b381b680-5c7f-45b5-98c8-f0769443b6b7</errorID>
      <errorWord xmlns="http://schemas.wps.cn/vas-ai-hub/contract-review">包虫病</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棘球蚴病</item>
      </candidateList>
      <explain xmlns="http://schemas.wps.cn/vas-ai-hub/contract-review">医学名词[包虫病]为不规范表述或旧称，其规范书面表述为[棘球蚴病]。</explain>
      <paraID xmlns="http://schemas.wps.cn/vas-ai-hub/contract-review">473B3830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65091428-3dcb-48e1-9d00-14016949d9b3</errorID>
      <errorWord xmlns="http://schemas.wps.cn/vas-ai-hub/contract-review">包虫病</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棘球蚴病</item>
      </candidateList>
      <explain xmlns="http://schemas.wps.cn/vas-ai-hub/contract-review">医学名词[包虫病]为不规范表述或旧称，其规范书面表述为[棘球蚴病]。</explain>
      <paraID xmlns="http://schemas.wps.cn/vas-ai-hub/contract-review">473B3830</paraID>
      <start xmlns="http://schemas.wps.cn/vas-ai-hub/contract-review">102</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89297989-5ad5-4dfa-a7da-edf1b56c77aa</errorID>
      <errorWord xmlns="http://schemas.wps.cn/vas-ai-hub/contract-review">“十四五” 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“十四五”规划</item>
      </candidateList>
      <explain xmlns="http://schemas.wps.cn/vas-ai-hub/contract-review">词汇““十四五”规划”在特定场景下为固定表述形式，请确认此处的““十四五” 规划”是否存在不当。</explain>
      <paraID xmlns="http://schemas.wps.cn/vas-ai-hub/contract-review">11086975</paraID>
      <start xmlns="http://schemas.wps.cn/vas-ai-hub/contract-review">133</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6b836f15-4c1b-4e82-bb23-11a3b0103c7c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405786EE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0bf6fa9d-e044-4e42-9216-754e863a82c0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2A11D77A</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0e766b8a-3ccd-4ec3-b4ab-6aeca559720f</errorID>
      <errorWord xmlns="http://schemas.wps.cn/vas-ai-hub/contract-review">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医药</item>
      </candidateList>
      <explain xmlns="http://schemas.wps.cn/vas-ai-hub/contract-review"/>
      <paraID xmlns="http://schemas.wps.cn/vas-ai-hub/contract-review">2C027409</paraID>
      <start xmlns="http://schemas.wps.cn/vas-ai-hub/contract-review">119</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7d5c33d2-2f20-4f71-8b92-ee68f9f2c973</errorID>
      <errorWord xmlns="http://schemas.wps.cn/vas-ai-hub/contract-review">包虫病</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棘球蚴病</item>
      </candidateList>
      <explain xmlns="http://schemas.wps.cn/vas-ai-hub/contract-review">医学名词[包虫病]为不规范表述或旧称，其规范书面表述为[棘球蚴病]。</explain>
      <paraID xmlns="http://schemas.wps.cn/vas-ai-hub/contract-review">51E41E14</paraID>
      <start xmlns="http://schemas.wps.cn/vas-ai-hub/contract-review">34</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013cefae-5d1f-42e0-a6af-d39fd2a672f9</errorID>
      <errorWord xmlns="http://schemas.wps.cn/vas-ai-hub/contract-review">统筹发展与安全</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统筹发展和安全</item>
      </candidateList>
      <explain xmlns="http://schemas.wps.cn/vas-ai-hub/contract-review"/>
      <paraID xmlns="http://schemas.wps.cn/vas-ai-hub/contract-review">59E36489</paraID>
      <start xmlns="http://schemas.wps.cn/vas-ai-hub/contract-review">76</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0ab32bb4-4062-4a51-b7e0-4c512ea1383d</errorID>
      <errorWord xmlns="http://schemas.wps.cn/vas-ai-hub/contract-review">新时代中国特色社会主义思想</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习近平新时代中国特色社会主义思想</item>
      </candidateList>
      <explain xmlns="http://schemas.wps.cn/vas-ai-hub/contract-review">词汇“习近平新时代中国特色社会主义思想”在特定场景下为固定表述形式，请确认此处的“新时代中国特色社会主义思想”是否存在不当。</explain>
      <paraID xmlns="http://schemas.wps.cn/vas-ai-hub/contract-review">6FAB46FC</paraID>
      <start xmlns="http://schemas.wps.cn/vas-ai-hub/contract-review">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afb8ac07-5ce8-41f8-8739-38026ec3fa78</errorID>
      <errorWord xmlns="http://schemas.wps.cn/vas-ai-hub/contract-review">留学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流行</item>
      </candidateList>
      <explain xmlns="http://schemas.wps.cn/vas-ai-hub/contract-review"/>
      <paraID xmlns="http://schemas.wps.cn/vas-ai-hub/contract-review">6BBBA6F3</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afb6adaa-3d54-4870-8c50-11d45ef068be</errorID>
      <errorWord xmlns="http://schemas.wps.cn/vas-ai-hub/contract-review">疾控防控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疾病防控</item>
      </candidateList>
      <explain xmlns="http://schemas.wps.cn/vas-ai-hub/contract-review"/>
      <paraID xmlns="http://schemas.wps.cn/vas-ai-hub/contract-review">6BBBA6F3</paraID>
      <start xmlns="http://schemas.wps.cn/vas-ai-hub/contract-review">135</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9543ecea-e423-4384-ba6a-6b85df3932d4</errorID>
      <errorWord xmlns="http://schemas.wps.cn/vas-ai-hub/contract-review">中华民族优秀传统文化</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中华优秀传统文化</item>
      </candidateList>
      <explain xmlns="http://schemas.wps.cn/vas-ai-hub/contract-review"/>
      <paraID xmlns="http://schemas.wps.cn/vas-ai-hub/contract-review">622C7AD5</paraID>
      <start xmlns="http://schemas.wps.cn/vas-ai-hub/contract-review">4</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8b541a29-7ba5-431b-a46c-e5c0b0542c42</errorID>
      <errorWord xmlns="http://schemas.wps.cn/vas-ai-hub/contract-review">医疗卫 生服务体系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医疗卫生服务体系</item>
      </candidateList>
      <explain xmlns="http://schemas.wps.cn/vas-ai-hub/contract-review">词汇“医疗卫生服务体系”在特定场景下为固定表述形式，请确认此处的“医疗卫 生服务体系”是否存在不当。</explain>
      <paraID xmlns="http://schemas.wps.cn/vas-ai-hub/contract-review"> 5216A33</paraID>
      <start xmlns="http://schemas.wps.cn/vas-ai-hub/contract-review">0</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78ec8390-6cb3-4588-8102-2d9a2ce7b482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B09C57B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9d93150e-e1bc-4488-80f4-fb29e548c89b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B09C57B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9e36cca9-1ecb-434f-a73d-12a5ec221945</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710117D7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0d9105bd-87c2-4b0e-a082-2a2ae038f9fa</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41EB170C</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85346767-f95c-4632-8c7a-0baf4e25f184</errorID>
      <errorWord xmlns="http://schemas.wps.cn/vas-ai-hub/contract-review">农牧区人居环境整治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农村人居环境整治</item>
      </candidateList>
      <explain xmlns="http://schemas.wps.cn/vas-ai-hub/contract-review">词汇“农村人居环境整治”在特定场景下为固定表述形式，请确认此处的“农牧区人居环境整治”是否存在不当。</explain>
      <paraID xmlns="http://schemas.wps.cn/vas-ai-hub/contract-review">5698F079</paraID>
      <start xmlns="http://schemas.wps.cn/vas-ai-hub/contract-review">70</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0c8a52b1-a527-4889-94f6-d0bf2b333487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411B9040</paraID>
      <start xmlns="http://schemas.wps.cn/vas-ai-hub/contract-review">105</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7d351b11-4990-4be9-8327-db5163381e8c</errorID>
      <errorWord xmlns="http://schemas.wps.cn/vas-ai-hub/contract-review">统筹发展与安全</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统筹发展和安全</item>
      </candidateList>
      <explain xmlns="http://schemas.wps.cn/vas-ai-hub/contract-review"/>
      <paraID xmlns="http://schemas.wps.cn/vas-ai-hub/contract-review">5E1265D8</paraID>
      <start xmlns="http://schemas.wps.cn/vas-ai-hub/contract-review">1</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cb69d732-bf51-4acc-8554-0e5d5ba310a9</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19C27822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dcce77e3-4094-4c75-a222-9a3a8b6fc681</errorID>
      <errorWord xmlns="http://schemas.wps.cn/vas-ai-hub/contract-review">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励和</item>
      </candidateList>
      <explain xmlns="http://schemas.wps.cn/vas-ai-hub/contract-review"/>
      <paraID xmlns="http://schemas.wps.cn/vas-ai-hub/contract-review">43BA49C1</paraID>
      <start xmlns="http://schemas.wps.cn/vas-ai-hub/contract-review">437</start>
      <end xmlns="http://schemas.wps.cn/vas-ai-hub/contract-review">438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0575247e-da55-49e5-9eca-948905ce982a</errorID>
      <errorWord xmlns="http://schemas.wps.cn/vas-ai-hub/contract-review">中华民族优秀传统文化</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中华优秀传统文化</item>
      </candidateList>
      <explain xmlns="http://schemas.wps.cn/vas-ai-hub/contract-review"/>
      <paraID xmlns="http://schemas.wps.cn/vas-ai-hub/contract-review">6284299D</paraID>
      <start xmlns="http://schemas.wps.cn/vas-ai-hub/contract-review">5</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221dc7a2-5aa9-4c15-ac33-96fb73979ba6</errorID>
      <errorWord xmlns="http://schemas.wps.cn/vas-ai-hub/contract-review">“十五五” 规划</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“十五五”规划</item>
      </candidateList>
      <explain xmlns="http://schemas.wps.cn/vas-ai-hub/contract-review">词汇““十五五”规划”在特定场景下为固定表述形式，请确认此处的““十五五” 规划”是否存在不当。</explain>
      <paraID xmlns="http://schemas.wps.cn/vas-ai-hub/contract-review">3E54F14B</paraID>
      <start xmlns="http://schemas.wps.cn/vas-ai-hub/contract-review">7</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53911c22-fdc0-4af9-a83a-0986934aa6e8</errorID>
      <errorWord xmlns="http://schemas.wps.cn/vas-ai-hub/contract-review">，将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68DF9B5C</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a3b46a4c-fee1-41b0-8181-6509ad99a348</errorID>
      <errorWord xmlns="http://schemas.wps.cn/vas-ai-hub/contract-review">，将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37311E31</paraID>
      <start xmlns="http://schemas.wps.cn/vas-ai-hub/contract-review">64</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9353b616-c96a-4c8c-bebb-97dfbcba0bc0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112730F6</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e57b6951-f88c-4046-9171-d6e0f0b60096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，要</item>
      </candidateList>
      <explain xmlns="http://schemas.wps.cn/vas-ai-hub/contract-review"/>
      <paraID xmlns="http://schemas.wps.cn/vas-ai-hub/contract-review">60487263</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47f7251e-b9b3-4877-a209-781dc664c1a6</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4664FD89</paraID>
      <start xmlns="http://schemas.wps.cn/vas-ai-hub/contract-review">58</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c4a04890-7b67-48aa-b24f-4851da4f0a39</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3BDC2161</paraID>
      <start xmlns="http://schemas.wps.cn/vas-ai-hub/contract-review">89</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a028c-f375-4e11-92bc-467f5ba8b380}">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597</Words>
  <Characters>621</Characters>
  <Lines>0</Lines>
  <Paragraphs>0</Paragraphs>
  <TotalTime>12</TotalTime>
  <ScaleCrop>false</ScaleCrop>
  <LinksUpToDate>false</LinksUpToDate>
  <CharactersWithSpaces>735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2025-10-28T18:32:00Z</dcterms:created>
  <dc:creator>昌都市卫生健康委员会</dc:creator>
  <cp:lastModifiedBy>user</cp:lastModifiedBy>
  <dcterms:modified xsi:type="dcterms:W3CDTF">2026-04-27T18:09:29Z</dcterms:modified>
  <dc:title>昌都市卫生健康事业“十五五”发展规划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eyJoZGlkIjoiMDUyZWY2MTFiMGJiNTI1Yzc4YmZmMzIwY2MxYzA0MDUiLCJ1c2VySWQiOiIxNzAzMjYxNzY3In0=</vt:lpwstr>
  </property>
  <property fmtid="{D5CDD505-2E9C-101B-9397-08002B2CF9AE}" pid="4" name="ICV">
    <vt:lpwstr>A53DC4AA5C13405697A9F14C60A737B9_12</vt:lpwstr>
  </property>
</Properties>
</file>